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AC2EAA" w:rsidRDefault="00A14478" w:rsidP="00AC2EAA">
      <w:pPr>
        <w:pStyle w:val="Textkrper-Zeileneinzug"/>
        <w:spacing w:line="276" w:lineRule="auto"/>
        <w:ind w:left="0" w:right="1134"/>
        <w:rPr>
          <w:b/>
          <w:bCs/>
          <w:color w:val="000000" w:themeColor="text1"/>
        </w:rPr>
      </w:pPr>
      <w:r w:rsidRPr="00A14478">
        <w:rPr>
          <w:b/>
          <w:bCs/>
          <w:color w:val="000000" w:themeColor="text1"/>
        </w:rPr>
        <w:t>Beim „Nachhaltigsten Immobilienprojekt 2019“ zählt Qualität: Eingebaute Produkte vereinen Leistung, Design und Nachhaltigkeit</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b/>
          <w:bCs/>
          <w:sz w:val="18"/>
          <w:szCs w:val="18"/>
        </w:rPr>
      </w:pPr>
      <w:proofErr w:type="spellStart"/>
      <w:r w:rsidRPr="00A14478">
        <w:rPr>
          <w:b/>
          <w:bCs/>
          <w:sz w:val="18"/>
          <w:szCs w:val="18"/>
        </w:rPr>
        <w:t>Käuferle</w:t>
      </w:r>
      <w:proofErr w:type="spellEnd"/>
      <w:r w:rsidRPr="00A14478">
        <w:rPr>
          <w:b/>
          <w:bCs/>
          <w:sz w:val="18"/>
          <w:szCs w:val="18"/>
        </w:rPr>
        <w:t>-Lösungen mehrfach in nachhaltigem Gewerbe- und Bürogebäude in München im Einsatz</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sz w:val="18"/>
          <w:szCs w:val="18"/>
        </w:rPr>
      </w:pPr>
      <w:r w:rsidRPr="00A14478">
        <w:rPr>
          <w:sz w:val="18"/>
          <w:szCs w:val="18"/>
        </w:rPr>
        <w:t>Viele Bauherren, Investoren, Planer und Architekten legen großen Wert auf das besondere Design der eingeplanten Produkte. Es ist schön zu sehen, dass das Thema Nachhaltigkeit bei der Einbau-Entscheidung ebenfalls eine immer wichtigere Rolle spielt. Hersteller, die beide Aspekte auf hohem Niveau miteinander verbinden können, haben heute die Nase vorn. Ein gelungenes Beispiel für diese Symbiose zeigt ein großes Bauprojekt in München.</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b/>
          <w:bCs/>
          <w:sz w:val="18"/>
          <w:szCs w:val="18"/>
        </w:rPr>
      </w:pPr>
      <w:proofErr w:type="spellStart"/>
      <w:r w:rsidRPr="00A14478">
        <w:rPr>
          <w:b/>
          <w:bCs/>
          <w:sz w:val="18"/>
          <w:szCs w:val="18"/>
        </w:rPr>
        <w:t>Centro</w:t>
      </w:r>
      <w:proofErr w:type="spellEnd"/>
      <w:r w:rsidRPr="00A14478">
        <w:rPr>
          <w:b/>
          <w:bCs/>
          <w:sz w:val="18"/>
          <w:szCs w:val="18"/>
        </w:rPr>
        <w:t xml:space="preserve"> </w:t>
      </w:r>
      <w:proofErr w:type="spellStart"/>
      <w:r w:rsidRPr="00A14478">
        <w:rPr>
          <w:b/>
          <w:bCs/>
          <w:sz w:val="18"/>
          <w:szCs w:val="18"/>
        </w:rPr>
        <w:t>Tesoro</w:t>
      </w:r>
      <w:proofErr w:type="spellEnd"/>
      <w:r w:rsidRPr="00A14478">
        <w:rPr>
          <w:b/>
          <w:bCs/>
          <w:sz w:val="18"/>
          <w:szCs w:val="18"/>
        </w:rPr>
        <w:t xml:space="preserve"> – nachhaltig revitalisiert und für die Zukunft gewappnet</w:t>
      </w:r>
    </w:p>
    <w:p w:rsidR="00A14478" w:rsidRPr="00A14478" w:rsidRDefault="00A14478" w:rsidP="00A14478">
      <w:pPr>
        <w:pStyle w:val="Textkrper-Zeileneinzug"/>
        <w:spacing w:line="276" w:lineRule="auto"/>
        <w:ind w:left="0"/>
        <w:rPr>
          <w:sz w:val="18"/>
          <w:szCs w:val="18"/>
        </w:rPr>
      </w:pPr>
      <w:r w:rsidRPr="00A14478">
        <w:rPr>
          <w:sz w:val="18"/>
          <w:szCs w:val="18"/>
        </w:rPr>
        <w:t xml:space="preserve">Mit dem Gewerbe- und Bürokomplex </w:t>
      </w:r>
      <w:proofErr w:type="spellStart"/>
      <w:r w:rsidRPr="00A14478">
        <w:rPr>
          <w:sz w:val="18"/>
          <w:szCs w:val="18"/>
        </w:rPr>
        <w:t>Centro</w:t>
      </w:r>
      <w:proofErr w:type="spellEnd"/>
      <w:r w:rsidRPr="00A14478">
        <w:rPr>
          <w:sz w:val="18"/>
          <w:szCs w:val="18"/>
        </w:rPr>
        <w:t xml:space="preserve"> </w:t>
      </w:r>
      <w:proofErr w:type="spellStart"/>
      <w:r w:rsidRPr="00A14478">
        <w:rPr>
          <w:sz w:val="18"/>
          <w:szCs w:val="18"/>
        </w:rPr>
        <w:t>Tesoro</w:t>
      </w:r>
      <w:proofErr w:type="spellEnd"/>
      <w:r w:rsidRPr="00A14478">
        <w:rPr>
          <w:sz w:val="18"/>
          <w:szCs w:val="18"/>
        </w:rPr>
        <w:t xml:space="preserve"> hat die Schwaiger Group im Münchner Osten zwei Gewerbeobjekte aus den 80er und 90er Jahren technisch wie optisch zu einer Immobilie verbunden, rundum saniert und nach den anspruchsvollen Anforderungen des Green Building Labels LEED-Platin (Energieeffizienz, Materialien, Luftqualität etc.) modernisiert. Wo einst die Sektkellerei Nymphenburg ihren Sitz hatte, bietet heute das </w:t>
      </w:r>
      <w:proofErr w:type="spellStart"/>
      <w:r w:rsidRPr="00A14478">
        <w:rPr>
          <w:sz w:val="18"/>
          <w:szCs w:val="18"/>
        </w:rPr>
        <w:t>Centro</w:t>
      </w:r>
      <w:proofErr w:type="spellEnd"/>
      <w:r w:rsidRPr="00A14478">
        <w:rPr>
          <w:sz w:val="18"/>
          <w:szCs w:val="18"/>
        </w:rPr>
        <w:t xml:space="preserve"> </w:t>
      </w:r>
      <w:proofErr w:type="spellStart"/>
      <w:r w:rsidRPr="00A14478">
        <w:rPr>
          <w:sz w:val="18"/>
          <w:szCs w:val="18"/>
        </w:rPr>
        <w:t>Tesoro</w:t>
      </w:r>
      <w:proofErr w:type="spellEnd"/>
      <w:r w:rsidRPr="00A14478">
        <w:rPr>
          <w:sz w:val="18"/>
          <w:szCs w:val="18"/>
        </w:rPr>
        <w:t xml:space="preserve"> auf knapp 24.000 Quadratmeter Fläche anmietbare Büro- und Gewerberäume. Nicht zuletzt aufgrund des konsequenten Einsatzes von Recycling-Baumaterial wurde es als „Nachhaltigstes Immobilienprojekt 2019“ ausgezeichnet. Sowohl das effiziente Energiekonzept mit Mieterstrommodell als auch das Mobilitätskonzept mit Bike-Sharing und E-Ladestationen sowie das erste Abfall-Unterflur-System Münchens überzeugten die Jury. Ausschlaggebend war allerdings Münchens größte innerstädtische Photovoltaikanlage, die die Schwaiger Group in Kooperation mit den Stadtwerken München (SWM) auf einer Fläche von 10.000 Quadratmetern auf dem Dach des </w:t>
      </w:r>
      <w:proofErr w:type="spellStart"/>
      <w:r w:rsidRPr="00A14478">
        <w:rPr>
          <w:sz w:val="18"/>
          <w:szCs w:val="18"/>
        </w:rPr>
        <w:t>Centro</w:t>
      </w:r>
      <w:proofErr w:type="spellEnd"/>
      <w:r w:rsidRPr="00A14478">
        <w:rPr>
          <w:sz w:val="18"/>
          <w:szCs w:val="18"/>
        </w:rPr>
        <w:t xml:space="preserve"> </w:t>
      </w:r>
      <w:proofErr w:type="spellStart"/>
      <w:r w:rsidRPr="00A14478">
        <w:rPr>
          <w:sz w:val="18"/>
          <w:szCs w:val="18"/>
        </w:rPr>
        <w:t>Tesoro</w:t>
      </w:r>
      <w:proofErr w:type="spellEnd"/>
      <w:r w:rsidRPr="00A14478">
        <w:rPr>
          <w:sz w:val="18"/>
          <w:szCs w:val="18"/>
        </w:rPr>
        <w:t xml:space="preserve"> installiert hat. Insgesamt 1.354 Module mit je 320 Watt produzieren mit einer Leistung von 433 kW den grünen und kostengünstigen Direktstrom für die Mieter.</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sz w:val="18"/>
          <w:szCs w:val="18"/>
        </w:rPr>
      </w:pPr>
      <w:r w:rsidRPr="00A14478">
        <w:rPr>
          <w:sz w:val="18"/>
          <w:szCs w:val="18"/>
        </w:rPr>
        <w:t xml:space="preserve">Auch bei der Wahl der Partnerfirmen spielte Nachhaltigkeit eine große Rolle. Denn: Die Schwaiger Group wollte Optik, Qualität und Regionalität miteinander verbinden. Deshalb entschied sich der Projektentwickler bei den Garagentoren sowie den Trennwand-Systemen im Keller der Immobilie für den Hersteller </w:t>
      </w:r>
      <w:proofErr w:type="spellStart"/>
      <w:r w:rsidRPr="00A14478">
        <w:rPr>
          <w:sz w:val="18"/>
          <w:szCs w:val="18"/>
        </w:rPr>
        <w:t>Käuferle</w:t>
      </w:r>
      <w:proofErr w:type="spellEnd"/>
      <w:r w:rsidRPr="00A14478">
        <w:rPr>
          <w:sz w:val="18"/>
          <w:szCs w:val="18"/>
        </w:rPr>
        <w:t xml:space="preserve"> aus Aichach. Das mittelständische Familienunternehmen produziert im eigenen Werk und legt seinen Fokus auf hochwertige und robuste Materialien, die eine lange Lebensdauer gewähren. </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b/>
          <w:bCs/>
          <w:sz w:val="18"/>
          <w:szCs w:val="18"/>
        </w:rPr>
      </w:pPr>
      <w:r w:rsidRPr="00A14478">
        <w:rPr>
          <w:b/>
          <w:bCs/>
          <w:sz w:val="18"/>
          <w:szCs w:val="18"/>
        </w:rPr>
        <w:t>Abtrennungen aus Stahl sichern Archive</w:t>
      </w:r>
    </w:p>
    <w:p w:rsidR="00A14478" w:rsidRPr="00A14478" w:rsidRDefault="00A14478" w:rsidP="00A14478">
      <w:pPr>
        <w:pStyle w:val="Textkrper-Zeileneinzug"/>
        <w:spacing w:line="276" w:lineRule="auto"/>
        <w:ind w:left="0"/>
        <w:rPr>
          <w:sz w:val="18"/>
          <w:szCs w:val="18"/>
        </w:rPr>
      </w:pPr>
      <w:r w:rsidRPr="00A14478">
        <w:rPr>
          <w:sz w:val="18"/>
          <w:szCs w:val="18"/>
        </w:rPr>
        <w:t xml:space="preserve">Im Untergeschoss des </w:t>
      </w:r>
      <w:proofErr w:type="spellStart"/>
      <w:r w:rsidRPr="00A14478">
        <w:rPr>
          <w:sz w:val="18"/>
          <w:szCs w:val="18"/>
        </w:rPr>
        <w:t>Centro</w:t>
      </w:r>
      <w:proofErr w:type="spellEnd"/>
      <w:r w:rsidRPr="00A14478">
        <w:rPr>
          <w:sz w:val="18"/>
          <w:szCs w:val="18"/>
        </w:rPr>
        <w:t xml:space="preserve"> </w:t>
      </w:r>
      <w:proofErr w:type="spellStart"/>
      <w:r w:rsidRPr="00A14478">
        <w:rPr>
          <w:sz w:val="18"/>
          <w:szCs w:val="18"/>
        </w:rPr>
        <w:t>Tesoro</w:t>
      </w:r>
      <w:proofErr w:type="spellEnd"/>
      <w:r w:rsidRPr="00A14478">
        <w:rPr>
          <w:sz w:val="18"/>
          <w:szCs w:val="18"/>
        </w:rPr>
        <w:t xml:space="preserve"> kommt das brandschutzkonforme Universal-Trennwand-System (UTS) in der geschlossenen, blickdichten Variante Typ G zum Einsatz. Es grenzt die einzelnen Archivflächen voneinander ab. Sie stehen Mietern der Büroflächen sowie Externen zur Verfügung, um dort Akten zu lagern. Dank des hohen Vorfertigungsgrades ließ sich das System schnell und einfach einbauen. Die Lieferung erfolgte in Einzelteilen samt losem Zubehörmaterial. Der Monteur übertrug den Grundriss der Abteile auf den Keller, ermittelte den Standpunkt der Teleskopstützen und befestigte die Wandelemente und Türen dazwischen. Vor Ort schnitt er die Bauteile entsprechend zu und entgratete sie fachgemäß. Mit Montagewinkeln sowie </w:t>
      </w:r>
      <w:proofErr w:type="spellStart"/>
      <w:r w:rsidRPr="00A14478">
        <w:rPr>
          <w:sz w:val="18"/>
          <w:szCs w:val="18"/>
        </w:rPr>
        <w:t>aufdrehsicheren</w:t>
      </w:r>
      <w:proofErr w:type="spellEnd"/>
      <w:r w:rsidRPr="00A14478">
        <w:rPr>
          <w:sz w:val="18"/>
          <w:szCs w:val="18"/>
        </w:rPr>
        <w:t xml:space="preserve"> Dübeln fixierte der Monteur die Stützen an Boden und Decke. Die Pfeiler sind mit einer Abmessung von 40 mal 40 Millimetern enorm stabil. Unebenheiten gleicht das System durch Teleskopprofile aus. Durch die </w:t>
      </w:r>
      <w:r w:rsidRPr="00A14478">
        <w:rPr>
          <w:sz w:val="18"/>
          <w:szCs w:val="18"/>
        </w:rPr>
        <w:lastRenderedPageBreak/>
        <w:t xml:space="preserve">überlappende Anordnung der nicht rostenden Stahllamellen entstanden geschlossene Wandelemente, die optimalen Sichtschutz bieten. Die Türen sind mit aushängesicheren Bändern ausgestattet und schützen so vor ungewolltem Eindringen. Die Abstände zum Boden und zur Decke sichern zudem eine ausreichende Belüftung der einzelnen Abteile. </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b/>
          <w:bCs/>
          <w:sz w:val="18"/>
          <w:szCs w:val="18"/>
        </w:rPr>
      </w:pPr>
      <w:r w:rsidRPr="00A14478">
        <w:rPr>
          <w:b/>
          <w:bCs/>
          <w:sz w:val="18"/>
          <w:szCs w:val="18"/>
        </w:rPr>
        <w:t>Moderne Produktionsanlagen</w:t>
      </w:r>
    </w:p>
    <w:p w:rsidR="00A14478" w:rsidRPr="00A14478" w:rsidRDefault="00A14478" w:rsidP="00A14478">
      <w:pPr>
        <w:pStyle w:val="Textkrper-Zeileneinzug"/>
        <w:spacing w:line="276" w:lineRule="auto"/>
        <w:ind w:left="0"/>
        <w:rPr>
          <w:sz w:val="18"/>
          <w:szCs w:val="18"/>
        </w:rPr>
      </w:pPr>
      <w:r w:rsidRPr="00A14478">
        <w:rPr>
          <w:sz w:val="18"/>
          <w:szCs w:val="18"/>
        </w:rPr>
        <w:t xml:space="preserve">Die Herstellung und Verarbeitung der UTS-Bauteile fanden im Werk in Aichach statt. Als Grundlage dienten </w:t>
      </w:r>
      <w:proofErr w:type="spellStart"/>
      <w:r w:rsidRPr="00A14478">
        <w:rPr>
          <w:sz w:val="18"/>
          <w:szCs w:val="18"/>
        </w:rPr>
        <w:t>sendzimir</w:t>
      </w:r>
      <w:proofErr w:type="spellEnd"/>
      <w:r w:rsidRPr="00A14478">
        <w:rPr>
          <w:sz w:val="18"/>
          <w:szCs w:val="18"/>
        </w:rPr>
        <w:t>-verzinkte Stahlbleche. Bei dieser kontinuierlichen Feuerverzinkungstechnik erhält das Material eine Korrosionsschutzschicht und ist dadurch sehr beständig. Eine vollautomatisierte Roboterzelle fügte anschließend alle Teile zusammen und verband sie mittels Stanznietverfahren mit den Wand- und Türelementen. Das macht die Trennwände besonders einbruchsicher. Dazu trägt auch die verstärkte Konstruktion des Türrahmens bei. Zum Schluss nahm ein Roboter die angefertigten Bauteile auf und stapelte sie auf Paletten. Von dort aus machte sich das UTS-System per Transporter auf den Weg nach München.</w:t>
      </w:r>
    </w:p>
    <w:p w:rsidR="00A14478" w:rsidRPr="00A14478" w:rsidRDefault="00A14478" w:rsidP="00A14478">
      <w:pPr>
        <w:pStyle w:val="Textkrper-Zeileneinzug"/>
        <w:spacing w:line="276" w:lineRule="auto"/>
        <w:ind w:left="0"/>
        <w:rPr>
          <w:sz w:val="18"/>
          <w:szCs w:val="18"/>
        </w:rPr>
      </w:pPr>
    </w:p>
    <w:p w:rsidR="00A14478" w:rsidRPr="00A14478" w:rsidRDefault="00A14478" w:rsidP="00A14478">
      <w:pPr>
        <w:pStyle w:val="Textkrper-Zeileneinzug"/>
        <w:spacing w:line="276" w:lineRule="auto"/>
        <w:ind w:left="0"/>
        <w:rPr>
          <w:b/>
          <w:bCs/>
          <w:sz w:val="18"/>
          <w:szCs w:val="18"/>
        </w:rPr>
      </w:pPr>
      <w:r w:rsidRPr="00A14478">
        <w:rPr>
          <w:b/>
          <w:bCs/>
          <w:sz w:val="18"/>
          <w:szCs w:val="18"/>
        </w:rPr>
        <w:t>Tiefgaragentor passend zur Fassadengestaltung</w:t>
      </w:r>
    </w:p>
    <w:p w:rsidR="00CE4568" w:rsidRDefault="00A14478" w:rsidP="00A14478">
      <w:pPr>
        <w:pStyle w:val="Textkrper-Zeileneinzug"/>
        <w:spacing w:line="276" w:lineRule="auto"/>
        <w:ind w:left="0"/>
        <w:rPr>
          <w:sz w:val="18"/>
          <w:szCs w:val="18"/>
        </w:rPr>
      </w:pPr>
      <w:r w:rsidRPr="00A14478">
        <w:rPr>
          <w:sz w:val="18"/>
          <w:szCs w:val="18"/>
        </w:rPr>
        <w:t xml:space="preserve">Neben einem avantgardistischen Glasbau, der als Verbindungselement der beiden Gebäudeeinheiten aus den verschiedenen Jahrzehnten dient, rundet eine konsistente Corporate </w:t>
      </w:r>
      <w:proofErr w:type="spellStart"/>
      <w:r w:rsidRPr="00A14478">
        <w:rPr>
          <w:sz w:val="18"/>
          <w:szCs w:val="18"/>
        </w:rPr>
        <w:t>Architecture</w:t>
      </w:r>
      <w:proofErr w:type="spellEnd"/>
      <w:r w:rsidRPr="00A14478">
        <w:rPr>
          <w:sz w:val="18"/>
          <w:szCs w:val="18"/>
        </w:rPr>
        <w:t>, dazu gehören beispielsweise farblich abgestimmte Fassadenelemente, den Gesamteindruck der Immobilie ab. Geometrische Komponenten und klare Linien geben der Mixed-</w:t>
      </w:r>
      <w:proofErr w:type="spellStart"/>
      <w:r w:rsidRPr="00A14478">
        <w:rPr>
          <w:sz w:val="18"/>
          <w:szCs w:val="18"/>
        </w:rPr>
        <w:t>Use</w:t>
      </w:r>
      <w:proofErr w:type="spellEnd"/>
      <w:r w:rsidRPr="00A14478">
        <w:rPr>
          <w:sz w:val="18"/>
          <w:szCs w:val="18"/>
        </w:rPr>
        <w:t xml:space="preserve">-Immobilie eine zeitlose Erscheinung ganz in der Tradition der Bauhaus-Devise: form </w:t>
      </w:r>
      <w:proofErr w:type="spellStart"/>
      <w:r w:rsidRPr="00A14478">
        <w:rPr>
          <w:sz w:val="18"/>
          <w:szCs w:val="18"/>
        </w:rPr>
        <w:t>follows</w:t>
      </w:r>
      <w:proofErr w:type="spellEnd"/>
      <w:r w:rsidRPr="00A14478">
        <w:rPr>
          <w:sz w:val="18"/>
          <w:szCs w:val="18"/>
        </w:rPr>
        <w:t xml:space="preserve"> </w:t>
      </w:r>
      <w:proofErr w:type="spellStart"/>
      <w:r w:rsidRPr="00A14478">
        <w:rPr>
          <w:sz w:val="18"/>
          <w:szCs w:val="18"/>
        </w:rPr>
        <w:t>function</w:t>
      </w:r>
      <w:proofErr w:type="spellEnd"/>
      <w:r w:rsidRPr="00A14478">
        <w:rPr>
          <w:sz w:val="18"/>
          <w:szCs w:val="18"/>
        </w:rPr>
        <w:t xml:space="preserve">. Auch das neue Tiefgaragentor greift diese Gestaltung mit der passenden Auflage aus Alu-Glattblech, pulverbeschichtet in DB 703, auf. Es bildet eine optische Einheit mit den restlichen Fenstern und Türen des Gebäudes. Möglich macht das die flexible Rahmensprossenkonstruktion des </w:t>
      </w:r>
      <w:proofErr w:type="spellStart"/>
      <w:r w:rsidRPr="00A14478">
        <w:rPr>
          <w:sz w:val="18"/>
          <w:szCs w:val="18"/>
        </w:rPr>
        <w:t>Tortyps</w:t>
      </w:r>
      <w:proofErr w:type="spellEnd"/>
      <w:r w:rsidRPr="00A14478">
        <w:rPr>
          <w:sz w:val="18"/>
          <w:szCs w:val="18"/>
        </w:rPr>
        <w:t xml:space="preserve"> NA von </w:t>
      </w:r>
      <w:proofErr w:type="spellStart"/>
      <w:r w:rsidRPr="00A14478">
        <w:rPr>
          <w:sz w:val="18"/>
          <w:szCs w:val="18"/>
        </w:rPr>
        <w:t>Käuferle</w:t>
      </w:r>
      <w:proofErr w:type="spellEnd"/>
      <w:r w:rsidRPr="00A14478">
        <w:rPr>
          <w:sz w:val="18"/>
          <w:szCs w:val="18"/>
        </w:rPr>
        <w:t xml:space="preserve">, mit der sich individuelle Gestaltungswünsche realisieren lassen. Das eingebaute Tor hat die Maße 5500 mal 2320 Millimeter und ist zugleich Zu- und Ausfahrt der Sammelgarage des </w:t>
      </w:r>
      <w:proofErr w:type="spellStart"/>
      <w:r w:rsidRPr="00A14478">
        <w:rPr>
          <w:sz w:val="18"/>
          <w:szCs w:val="18"/>
        </w:rPr>
        <w:t>Centro</w:t>
      </w:r>
      <w:proofErr w:type="spellEnd"/>
      <w:r w:rsidRPr="00A14478">
        <w:rPr>
          <w:sz w:val="18"/>
          <w:szCs w:val="18"/>
        </w:rPr>
        <w:t xml:space="preserve"> </w:t>
      </w:r>
      <w:proofErr w:type="spellStart"/>
      <w:r w:rsidRPr="00A14478">
        <w:rPr>
          <w:sz w:val="18"/>
          <w:szCs w:val="18"/>
        </w:rPr>
        <w:t>Tesoro</w:t>
      </w:r>
      <w:proofErr w:type="spellEnd"/>
      <w:r w:rsidRPr="00A14478">
        <w:rPr>
          <w:sz w:val="18"/>
          <w:szCs w:val="18"/>
        </w:rPr>
        <w:t xml:space="preserve">, die durch eine Ampel gesteuert wird. Es schwenkt beim Öffnen und Schließen nicht über die </w:t>
      </w:r>
      <w:proofErr w:type="spellStart"/>
      <w:r w:rsidRPr="00A14478">
        <w:rPr>
          <w:sz w:val="18"/>
          <w:szCs w:val="18"/>
        </w:rPr>
        <w:t>Torebene</w:t>
      </w:r>
      <w:proofErr w:type="spellEnd"/>
      <w:r w:rsidRPr="00A14478">
        <w:rPr>
          <w:sz w:val="18"/>
          <w:szCs w:val="18"/>
        </w:rPr>
        <w:t xml:space="preserve"> hinaus und ist durch seine intelligente Alu-Leichtbauweise besonders verschleiß- sowie geräuscharm. Zudem gewährleistet das Antriebssystem mit </w:t>
      </w:r>
      <w:proofErr w:type="spellStart"/>
      <w:r w:rsidRPr="00A14478">
        <w:rPr>
          <w:sz w:val="18"/>
          <w:szCs w:val="18"/>
        </w:rPr>
        <w:t>Sanftanlauf</w:t>
      </w:r>
      <w:proofErr w:type="spellEnd"/>
      <w:r w:rsidRPr="00A14478">
        <w:rPr>
          <w:sz w:val="18"/>
          <w:szCs w:val="18"/>
        </w:rPr>
        <w:t xml:space="preserve"> und </w:t>
      </w:r>
      <w:proofErr w:type="spellStart"/>
      <w:r w:rsidRPr="00A14478">
        <w:rPr>
          <w:sz w:val="18"/>
          <w:szCs w:val="18"/>
        </w:rPr>
        <w:t>Sanftstoppfunktion</w:t>
      </w:r>
      <w:proofErr w:type="spellEnd"/>
      <w:r w:rsidRPr="00A14478">
        <w:rPr>
          <w:sz w:val="18"/>
          <w:szCs w:val="18"/>
        </w:rPr>
        <w:t xml:space="preserve"> eine hohe Lebensdauer von mindestens 250.000 Zyklen. Es stellt somit – entsprechend dem Gesamtkonzept – eine besonders nachhaltige Lösung dar. Auch bei den elf benötigten Hallentoren für die Logistik- und Lagerflächen kann sich die Schwaiger Group auf die bewährten Produkte von </w:t>
      </w:r>
      <w:proofErr w:type="spellStart"/>
      <w:r w:rsidRPr="00A14478">
        <w:rPr>
          <w:sz w:val="18"/>
          <w:szCs w:val="18"/>
        </w:rPr>
        <w:t>Käuferle</w:t>
      </w:r>
      <w:proofErr w:type="spellEnd"/>
      <w:r w:rsidRPr="00A14478">
        <w:rPr>
          <w:sz w:val="18"/>
          <w:szCs w:val="18"/>
        </w:rPr>
        <w:t xml:space="preserve"> verlassen.</w:t>
      </w:r>
    </w:p>
    <w:p w:rsidR="00CE4568" w:rsidRDefault="00CE4568" w:rsidP="00BD0238">
      <w:pPr>
        <w:pStyle w:val="Textkrper-Zeileneinzug"/>
        <w:spacing w:line="276" w:lineRule="auto"/>
        <w:ind w:left="0"/>
        <w:rPr>
          <w:sz w:val="18"/>
          <w:szCs w:val="18"/>
        </w:rPr>
      </w:pPr>
    </w:p>
    <w:p w:rsidR="00A21B20" w:rsidRDefault="00A21B20" w:rsidP="00BD0238">
      <w:pPr>
        <w:pStyle w:val="Textkrper-Zeileneinzug"/>
        <w:spacing w:line="276" w:lineRule="auto"/>
        <w:ind w:left="0"/>
        <w:rPr>
          <w:sz w:val="18"/>
          <w:szCs w:val="18"/>
        </w:rPr>
      </w:pPr>
    </w:p>
    <w:p w:rsidR="00A21B20" w:rsidRDefault="00A21B20" w:rsidP="00BD0238">
      <w:pPr>
        <w:pStyle w:val="Textkrper-Zeileneinzug"/>
        <w:spacing w:line="276" w:lineRule="auto"/>
        <w:ind w:left="0"/>
        <w:rPr>
          <w:sz w:val="18"/>
          <w:szCs w:val="18"/>
        </w:rPr>
      </w:pPr>
    </w:p>
    <w:p w:rsidR="00A15777" w:rsidRPr="00CE4568" w:rsidRDefault="00A15777" w:rsidP="00A15777">
      <w:pPr>
        <w:ind w:right="-283"/>
        <w:rPr>
          <w:rFonts w:ascii="Arial" w:hAnsi="Arial"/>
          <w:b/>
          <w:bCs/>
          <w:color w:val="000000" w:themeColor="text1"/>
          <w:sz w:val="16"/>
          <w:szCs w:val="16"/>
        </w:rPr>
      </w:pPr>
      <w:r w:rsidRPr="00CE4568">
        <w:rPr>
          <w:rFonts w:ascii="Arial" w:hAnsi="Arial"/>
          <w:b/>
          <w:bCs/>
          <w:color w:val="000000" w:themeColor="text1"/>
          <w:sz w:val="16"/>
          <w:szCs w:val="16"/>
        </w:rPr>
        <w:t xml:space="preserve">Über </w:t>
      </w:r>
      <w:proofErr w:type="spellStart"/>
      <w:r w:rsidRPr="00CE4568">
        <w:rPr>
          <w:rFonts w:ascii="Arial" w:hAnsi="Arial"/>
          <w:b/>
          <w:bCs/>
          <w:color w:val="000000" w:themeColor="text1"/>
          <w:sz w:val="16"/>
          <w:szCs w:val="16"/>
        </w:rPr>
        <w:t>Käuferle</w:t>
      </w:r>
      <w:proofErr w:type="spellEnd"/>
      <w:r w:rsidRPr="00CE4568">
        <w:rPr>
          <w:rFonts w:ascii="Arial" w:hAnsi="Arial"/>
          <w:b/>
          <w:bCs/>
          <w:color w:val="000000" w:themeColor="text1"/>
          <w:sz w:val="16"/>
          <w:szCs w:val="16"/>
        </w:rPr>
        <w:t xml:space="preserve"> GmbH &amp; Co. KG:</w:t>
      </w:r>
    </w:p>
    <w:p w:rsidR="00A15777" w:rsidRPr="00CE4568" w:rsidRDefault="00A15777" w:rsidP="00A15777">
      <w:pPr>
        <w:rPr>
          <w:rFonts w:ascii="Arial" w:hAnsi="Arial"/>
          <w:color w:val="000000" w:themeColor="text1"/>
          <w:sz w:val="16"/>
          <w:szCs w:val="16"/>
        </w:rPr>
      </w:pPr>
      <w:r w:rsidRPr="00CE4568">
        <w:rPr>
          <w:rFonts w:ascii="Arial" w:hAnsi="Arial"/>
          <w:color w:val="000000" w:themeColor="text1"/>
          <w:sz w:val="16"/>
          <w:szCs w:val="16"/>
        </w:rPr>
        <w:t xml:space="preserve">Als mittelständisches Familienunternehmen mit rund 200 Mitarbeitern hat die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im bayrisch-schwäbischen Aichach die gesamte Produktpalette konsequent auf die Bedürfnisse der Baubranche ausgerichtet.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bietet dem Wohnungs-, Gewerbe- und Kommunalbau in Deutschland, Österreich und der Schweiz ein umfassendes Programm von Toren und Trennsystemen bis hin zu Fenstern und Türen aus Kunststoff und Aluminium. Weitere Informationen unter </w:t>
      </w:r>
      <w:hyperlink r:id="rId7" w:history="1">
        <w:r w:rsidRPr="00CE4568">
          <w:rPr>
            <w:rFonts w:ascii="Arial" w:hAnsi="Arial"/>
            <w:color w:val="000000" w:themeColor="text1"/>
            <w:sz w:val="16"/>
            <w:szCs w:val="16"/>
            <w:u w:val="single"/>
          </w:rPr>
          <w:t>www.kaeuferle.de</w:t>
        </w:r>
      </w:hyperlink>
    </w:p>
    <w:p w:rsidR="00A15777" w:rsidRPr="00CE4568" w:rsidRDefault="00A15777" w:rsidP="00A15777">
      <w:pPr>
        <w:ind w:right="1134"/>
        <w:rPr>
          <w:rFonts w:ascii="Arial" w:hAnsi="Arial"/>
          <w:b/>
          <w:color w:val="000000" w:themeColor="text1"/>
          <w:sz w:val="16"/>
          <w:szCs w:val="16"/>
        </w:rPr>
      </w:pPr>
    </w:p>
    <w:p w:rsidR="00A15777" w:rsidRPr="00CE4568" w:rsidRDefault="00A15777" w:rsidP="00A15777">
      <w:pPr>
        <w:ind w:right="1134"/>
        <w:rPr>
          <w:rFonts w:ascii="Arial" w:hAnsi="Arial"/>
          <w:b/>
          <w:color w:val="000000" w:themeColor="text1"/>
          <w:sz w:val="16"/>
          <w:szCs w:val="16"/>
        </w:rPr>
      </w:pPr>
      <w:r w:rsidRPr="00CE4568">
        <w:rPr>
          <w:rFonts w:ascii="Arial" w:hAnsi="Arial"/>
          <w:b/>
          <w:color w:val="000000" w:themeColor="text1"/>
          <w:sz w:val="16"/>
          <w:szCs w:val="16"/>
        </w:rPr>
        <w:t xml:space="preserve">Unternehmen: </w:t>
      </w:r>
    </w:p>
    <w:p w:rsidR="00A15777" w:rsidRPr="00CE4568" w:rsidRDefault="00A15777" w:rsidP="00A15777">
      <w:pPr>
        <w:rPr>
          <w:rFonts w:ascii="Arial" w:hAnsi="Arial"/>
          <w:color w:val="000000" w:themeColor="text1"/>
          <w:sz w:val="16"/>
          <w:szCs w:val="16"/>
        </w:rPr>
      </w:pP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Robert-Bosch-Straße 4, D-86551 Aichach, </w:t>
      </w:r>
    </w:p>
    <w:p w:rsidR="00A15777" w:rsidRPr="00CE4568" w:rsidRDefault="00A15777" w:rsidP="00A15777">
      <w:pPr>
        <w:rPr>
          <w:rFonts w:ascii="Arial" w:hAnsi="Arial"/>
          <w:color w:val="000000" w:themeColor="text1"/>
          <w:sz w:val="16"/>
          <w:szCs w:val="16"/>
          <w:lang w:val="en-US"/>
        </w:rPr>
      </w:pPr>
      <w:r w:rsidRPr="00CE4568">
        <w:rPr>
          <w:rFonts w:ascii="Arial" w:hAnsi="Arial"/>
          <w:color w:val="000000" w:themeColor="text1"/>
          <w:sz w:val="16"/>
          <w:szCs w:val="16"/>
          <w:lang w:val="en-US"/>
        </w:rPr>
        <w:t xml:space="preserve">Tel: 08251 9005-200, Fax: 08251 9005-490, Email: </w:t>
      </w:r>
      <w:hyperlink r:id="rId8" w:history="1">
        <w:r w:rsidRPr="00CE4568">
          <w:rPr>
            <w:rStyle w:val="Hyperlink"/>
            <w:rFonts w:ascii="Arial" w:hAnsi="Arial"/>
            <w:color w:val="000000" w:themeColor="text1"/>
            <w:sz w:val="16"/>
            <w:szCs w:val="16"/>
            <w:lang w:val="en-US"/>
          </w:rPr>
          <w:t>info@kaeuferle.de</w:t>
        </w:r>
      </w:hyperlink>
    </w:p>
    <w:p w:rsidR="00A15777" w:rsidRPr="00CE4568" w:rsidRDefault="00A15777" w:rsidP="00A15777">
      <w:pPr>
        <w:ind w:right="-283"/>
        <w:rPr>
          <w:rFonts w:ascii="Arial" w:hAnsi="Arial"/>
          <w:color w:val="000000" w:themeColor="text1"/>
          <w:sz w:val="16"/>
          <w:szCs w:val="16"/>
          <w:lang w:val="en-US"/>
        </w:rPr>
      </w:pPr>
    </w:p>
    <w:p w:rsidR="00A15777" w:rsidRPr="00CE4568" w:rsidRDefault="00A15777" w:rsidP="00A15777">
      <w:pPr>
        <w:rPr>
          <w:rFonts w:ascii="Arial" w:hAnsi="Arial"/>
          <w:b/>
          <w:color w:val="000000" w:themeColor="text1"/>
          <w:sz w:val="16"/>
          <w:szCs w:val="16"/>
        </w:rPr>
      </w:pPr>
      <w:r w:rsidRPr="00CE4568">
        <w:rPr>
          <w:rFonts w:ascii="Arial" w:hAnsi="Arial"/>
          <w:b/>
          <w:color w:val="000000" w:themeColor="text1"/>
          <w:sz w:val="16"/>
          <w:szCs w:val="16"/>
        </w:rPr>
        <w:t>Redaktion:</w:t>
      </w:r>
    </w:p>
    <w:p w:rsidR="00A15777" w:rsidRPr="00CE4568" w:rsidRDefault="00A15777" w:rsidP="00A15777">
      <w:pPr>
        <w:ind w:right="993"/>
        <w:rPr>
          <w:rFonts w:ascii="Arial" w:hAnsi="Arial"/>
          <w:color w:val="000000" w:themeColor="text1"/>
          <w:sz w:val="16"/>
          <w:szCs w:val="16"/>
        </w:rPr>
      </w:pPr>
      <w:r w:rsidRPr="00CE4568">
        <w:rPr>
          <w:rFonts w:ascii="Arial" w:hAnsi="Arial"/>
          <w:color w:val="000000" w:themeColor="text1"/>
          <w:sz w:val="16"/>
          <w:szCs w:val="16"/>
        </w:rPr>
        <w:t xml:space="preserve">HEINRICH Agentur für Kommunikation, </w:t>
      </w:r>
      <w:proofErr w:type="spellStart"/>
      <w:r w:rsidRPr="00CE4568">
        <w:rPr>
          <w:rFonts w:ascii="Arial" w:hAnsi="Arial"/>
          <w:color w:val="000000" w:themeColor="text1"/>
          <w:sz w:val="16"/>
          <w:szCs w:val="16"/>
        </w:rPr>
        <w:t>Gerolfinger</w:t>
      </w:r>
      <w:proofErr w:type="spellEnd"/>
      <w:r w:rsidRPr="00CE4568">
        <w:rPr>
          <w:rFonts w:ascii="Arial" w:hAnsi="Arial"/>
          <w:color w:val="000000" w:themeColor="text1"/>
          <w:sz w:val="16"/>
          <w:szCs w:val="16"/>
        </w:rPr>
        <w:t xml:space="preserve"> Str. 106, D-85049 Ingolstadt, Stefanie Barz, Tel.: 0841 99339-40, Fax: 0841 99339-59, </w:t>
      </w:r>
    </w:p>
    <w:p w:rsidR="00A15777" w:rsidRPr="00CE4568" w:rsidRDefault="008F1B61" w:rsidP="00A15777">
      <w:pPr>
        <w:ind w:right="993"/>
        <w:rPr>
          <w:rFonts w:ascii="Arial" w:hAnsi="Arial"/>
          <w:color w:val="000000" w:themeColor="text1"/>
          <w:sz w:val="18"/>
          <w:szCs w:val="18"/>
        </w:rPr>
      </w:pPr>
      <w:hyperlink r:id="rId9" w:history="1">
        <w:r w:rsidR="00CE4568" w:rsidRPr="00E676C5">
          <w:rPr>
            <w:rStyle w:val="Hyperlink"/>
            <w:rFonts w:ascii="Arial" w:hAnsi="Arial"/>
            <w:sz w:val="16"/>
            <w:szCs w:val="16"/>
          </w:rPr>
          <w:t>info@heinrich-kommunikation.de</w:t>
        </w:r>
      </w:hyperlink>
      <w:r w:rsidR="00A15777" w:rsidRPr="00CE4568">
        <w:rPr>
          <w:rFonts w:ascii="Arial" w:hAnsi="Arial"/>
          <w:color w:val="000000" w:themeColor="text1"/>
          <w:sz w:val="16"/>
          <w:szCs w:val="16"/>
        </w:rPr>
        <w:t xml:space="preserve">, </w:t>
      </w:r>
      <w:hyperlink r:id="rId10" w:history="1">
        <w:r w:rsidR="00A15777" w:rsidRPr="00CE4568">
          <w:rPr>
            <w:rStyle w:val="Hyperlink"/>
            <w:rFonts w:ascii="Arial" w:hAnsi="Arial"/>
            <w:color w:val="000000" w:themeColor="text1"/>
            <w:sz w:val="16"/>
            <w:szCs w:val="16"/>
          </w:rPr>
          <w:t>www.heinrich-kommunikation</w:t>
        </w:r>
      </w:hyperlink>
      <w:r w:rsidR="00A15777" w:rsidRPr="00CE4568">
        <w:rPr>
          <w:rFonts w:ascii="Arial" w:hAnsi="Arial"/>
          <w:color w:val="000000" w:themeColor="text1"/>
          <w:sz w:val="18"/>
          <w:szCs w:val="18"/>
        </w:rPr>
        <w:t xml:space="preserve">  </w:t>
      </w:r>
    </w:p>
    <w:p w:rsidR="00D823B6" w:rsidRPr="00CE4568" w:rsidRDefault="00D823B6" w:rsidP="00CE4568">
      <w:pPr>
        <w:pageBreakBefore/>
        <w:ind w:right="992"/>
        <w:rPr>
          <w:rFonts w:ascii="Arial" w:hAnsi="Arial" w:cs="Arial"/>
          <w:color w:val="000000"/>
          <w:sz w:val="22"/>
          <w:szCs w:val="22"/>
        </w:rPr>
      </w:pPr>
      <w:r w:rsidRPr="00CE4568">
        <w:rPr>
          <w:rFonts w:ascii="Arial" w:hAnsi="Arial" w:cs="Arial"/>
          <w:b/>
          <w:sz w:val="22"/>
          <w:szCs w:val="22"/>
        </w:rPr>
        <w:lastRenderedPageBreak/>
        <w:t>Bildbogen</w:t>
      </w:r>
    </w:p>
    <w:p w:rsidR="00D823B6" w:rsidRPr="00CE4568" w:rsidRDefault="00D823B6" w:rsidP="00BD0238">
      <w:pPr>
        <w:pStyle w:val="Textkrper-Zeileneinzug"/>
        <w:spacing w:line="276" w:lineRule="auto"/>
        <w:ind w:left="0" w:right="1"/>
        <w:rPr>
          <w:b/>
        </w:rPr>
      </w:pPr>
    </w:p>
    <w:p w:rsidR="00D823B6" w:rsidRPr="00922572" w:rsidRDefault="00A14478" w:rsidP="00BD0238">
      <w:pPr>
        <w:rPr>
          <w:rFonts w:ascii="Arial" w:hAnsi="Arial" w:cs="Arial"/>
          <w:sz w:val="18"/>
          <w:szCs w:val="18"/>
        </w:rPr>
      </w:pPr>
      <w:r w:rsidRPr="00A14478">
        <w:rPr>
          <w:rFonts w:ascii="Arial" w:hAnsi="Arial" w:cs="Arial"/>
          <w:b/>
          <w:bCs/>
          <w:color w:val="000000" w:themeColor="text1"/>
          <w:sz w:val="22"/>
          <w:szCs w:val="22"/>
        </w:rPr>
        <w:t>Beim „Nachhaltigsten Immobilienprojekt 2019“ zählt Qualität: Eingebaute Produkte vereinen Leistung, Design und Nachhaltigkeit</w:t>
      </w:r>
    </w:p>
    <w:p w:rsidR="00CE4568" w:rsidRDefault="00CE4568" w:rsidP="00BD0238">
      <w:pPr>
        <w:rPr>
          <w:rFonts w:ascii="Arial" w:hAnsi="Arial" w:cs="Arial"/>
          <w:sz w:val="18"/>
          <w:szCs w:val="18"/>
        </w:rPr>
      </w:pPr>
    </w:p>
    <w:p w:rsidR="00CE4568" w:rsidRDefault="00A1447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1312" behindDoc="0" locked="0" layoutInCell="1" allowOverlap="1" wp14:anchorId="23BE12B8" wp14:editId="4DE0E91F">
                <wp:simplePos x="0" y="0"/>
                <wp:positionH relativeFrom="column">
                  <wp:posOffset>4575810</wp:posOffset>
                </wp:positionH>
                <wp:positionV relativeFrom="paragraph">
                  <wp:posOffset>179070</wp:posOffset>
                </wp:positionV>
                <wp:extent cx="1732915" cy="1358900"/>
                <wp:effectExtent l="0" t="0" r="0" b="0"/>
                <wp:wrapNone/>
                <wp:docPr id="10" name="Textfeld 10"/>
                <wp:cNvGraphicFramePr/>
                <a:graphic xmlns:a="http://schemas.openxmlformats.org/drawingml/2006/main">
                  <a:graphicData uri="http://schemas.microsoft.com/office/word/2010/wordprocessingShape">
                    <wps:wsp>
                      <wps:cNvSpPr txBox="1"/>
                      <wps:spPr>
                        <a:xfrm>
                          <a:off x="0" y="0"/>
                          <a:ext cx="1732915" cy="1358900"/>
                        </a:xfrm>
                        <a:prstGeom prst="rect">
                          <a:avLst/>
                        </a:prstGeom>
                        <a:noFill/>
                        <a:ln w="6350">
                          <a:noFill/>
                        </a:ln>
                      </wps:spPr>
                      <wps:txbx>
                        <w:txbxContent>
                          <w:p w:rsidR="00A14478" w:rsidRDefault="004E07A4" w:rsidP="00A14478">
                            <w:pPr>
                              <w:rPr>
                                <w:rFonts w:ascii="Arial" w:hAnsi="Arial" w:cs="Arial"/>
                                <w:sz w:val="18"/>
                                <w:szCs w:val="18"/>
                              </w:rPr>
                            </w:pPr>
                            <w:r w:rsidRPr="00A15777">
                              <w:rPr>
                                <w:rFonts w:ascii="Arial" w:hAnsi="Arial" w:cs="Arial"/>
                                <w:color w:val="000000" w:themeColor="text1"/>
                                <w:sz w:val="16"/>
                                <w:szCs w:val="16"/>
                              </w:rPr>
                              <w:t xml:space="preserve">BU: </w:t>
                            </w:r>
                            <w:r w:rsidR="00A14478" w:rsidRPr="00A14478">
                              <w:rPr>
                                <w:rFonts w:ascii="Arial" w:hAnsi="Arial" w:cs="Arial"/>
                                <w:sz w:val="18"/>
                                <w:szCs w:val="18"/>
                              </w:rPr>
                              <w:t xml:space="preserve">Mit der Revitalisierung des </w:t>
                            </w:r>
                            <w:proofErr w:type="spellStart"/>
                            <w:r w:rsidR="00A14478" w:rsidRPr="00A14478">
                              <w:rPr>
                                <w:rFonts w:ascii="Arial" w:hAnsi="Arial" w:cs="Arial"/>
                                <w:sz w:val="18"/>
                                <w:szCs w:val="18"/>
                              </w:rPr>
                              <w:t>Centro</w:t>
                            </w:r>
                            <w:proofErr w:type="spellEnd"/>
                            <w:r w:rsidR="00A14478" w:rsidRPr="00A14478">
                              <w:rPr>
                                <w:rFonts w:ascii="Arial" w:hAnsi="Arial" w:cs="Arial"/>
                                <w:sz w:val="18"/>
                                <w:szCs w:val="18"/>
                              </w:rPr>
                              <w:t xml:space="preserve"> </w:t>
                            </w:r>
                            <w:proofErr w:type="spellStart"/>
                            <w:r w:rsidR="00A14478" w:rsidRPr="00A14478">
                              <w:rPr>
                                <w:rFonts w:ascii="Arial" w:hAnsi="Arial" w:cs="Arial"/>
                                <w:sz w:val="18"/>
                                <w:szCs w:val="18"/>
                              </w:rPr>
                              <w:t>Tesoro</w:t>
                            </w:r>
                            <w:proofErr w:type="spellEnd"/>
                            <w:r w:rsidR="00A14478" w:rsidRPr="00A14478">
                              <w:rPr>
                                <w:rFonts w:ascii="Arial" w:hAnsi="Arial" w:cs="Arial"/>
                                <w:sz w:val="18"/>
                                <w:szCs w:val="18"/>
                              </w:rPr>
                              <w:t xml:space="preserve"> nimmt die Schwaiger Group eine Vorreiterrolle ein: durch nachhaltige Maßnahmen fördert das Unternehmen den Bestand und macht das Gebäude zukunftsfähig. (Quelle: Schwaiger Group)</w:t>
                            </w:r>
                          </w:p>
                          <w:p w:rsidR="004E07A4" w:rsidRPr="00A15777" w:rsidRDefault="004E07A4">
                            <w:pPr>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BE12B8" id="_x0000_t202" coordsize="21600,21600" o:spt="202" path="m,l,21600r21600,l21600,xe">
                <v:stroke joinstyle="miter"/>
                <v:path gradientshapeok="t" o:connecttype="rect"/>
              </v:shapetype>
              <v:shape id="Textfeld 10" o:spid="_x0000_s1026" type="#_x0000_t202" style="position:absolute;margin-left:360.3pt;margin-top:14.1pt;width:136.45pt;height:10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" filled="f" stroked="f" strokeweight=".5pt">
                <v:textbox>
                  <w:txbxContent>
                    <w:p w:rsidR="00A14478" w:rsidRDefault="004E07A4" w:rsidP="00A14478">
                      <w:pPr>
                        <w:rPr>
                          <w:rFonts w:ascii="Arial" w:hAnsi="Arial" w:cs="Arial"/>
                          <w:sz w:val="18"/>
                          <w:szCs w:val="18"/>
                        </w:rPr>
                      </w:pPr>
                      <w:r w:rsidRPr="00A15777">
                        <w:rPr>
                          <w:rFonts w:ascii="Arial" w:hAnsi="Arial" w:cs="Arial"/>
                          <w:color w:val="000000" w:themeColor="text1"/>
                          <w:sz w:val="16"/>
                          <w:szCs w:val="16"/>
                        </w:rPr>
                        <w:t xml:space="preserve">BU: </w:t>
                      </w:r>
                      <w:r w:rsidR="00A14478" w:rsidRPr="00A14478">
                        <w:rPr>
                          <w:rFonts w:ascii="Arial" w:hAnsi="Arial" w:cs="Arial"/>
                          <w:sz w:val="18"/>
                          <w:szCs w:val="18"/>
                        </w:rPr>
                        <w:t xml:space="preserve">Mit der Revitalisierung des </w:t>
                      </w:r>
                      <w:proofErr w:type="spellStart"/>
                      <w:r w:rsidR="00A14478" w:rsidRPr="00A14478">
                        <w:rPr>
                          <w:rFonts w:ascii="Arial" w:hAnsi="Arial" w:cs="Arial"/>
                          <w:sz w:val="18"/>
                          <w:szCs w:val="18"/>
                        </w:rPr>
                        <w:t>Centro</w:t>
                      </w:r>
                      <w:proofErr w:type="spellEnd"/>
                      <w:r w:rsidR="00A14478" w:rsidRPr="00A14478">
                        <w:rPr>
                          <w:rFonts w:ascii="Arial" w:hAnsi="Arial" w:cs="Arial"/>
                          <w:sz w:val="18"/>
                          <w:szCs w:val="18"/>
                        </w:rPr>
                        <w:t xml:space="preserve"> </w:t>
                      </w:r>
                      <w:proofErr w:type="spellStart"/>
                      <w:r w:rsidR="00A14478" w:rsidRPr="00A14478">
                        <w:rPr>
                          <w:rFonts w:ascii="Arial" w:hAnsi="Arial" w:cs="Arial"/>
                          <w:sz w:val="18"/>
                          <w:szCs w:val="18"/>
                        </w:rPr>
                        <w:t>Tesoro</w:t>
                      </w:r>
                      <w:proofErr w:type="spellEnd"/>
                      <w:r w:rsidR="00A14478" w:rsidRPr="00A14478">
                        <w:rPr>
                          <w:rFonts w:ascii="Arial" w:hAnsi="Arial" w:cs="Arial"/>
                          <w:sz w:val="18"/>
                          <w:szCs w:val="18"/>
                        </w:rPr>
                        <w:t xml:space="preserve"> nimmt die Schwaiger Group eine Vorreiterrolle ein: durch nachhaltige Maßnahmen fördert das Unternehmen den Bestand und macht das Gebäude zukunftsfähig. (Quelle: Schwaiger Group)</w:t>
                      </w:r>
                    </w:p>
                    <w:p w:rsidR="004E07A4" w:rsidRPr="00A15777" w:rsidRDefault="004E07A4">
                      <w:pPr>
                        <w:rPr>
                          <w:color w:val="000000" w:themeColor="text1"/>
                          <w:sz w:val="16"/>
                          <w:szCs w:val="16"/>
                        </w:rPr>
                      </w:pPr>
                    </w:p>
                  </w:txbxContent>
                </v:textbox>
              </v:shape>
            </w:pict>
          </mc:Fallback>
        </mc:AlternateContent>
      </w:r>
    </w:p>
    <w:p w:rsidR="00AC2EAA" w:rsidRDefault="00A14478" w:rsidP="00BD0238">
      <w:pPr>
        <w:rPr>
          <w:rFonts w:ascii="Arial" w:hAnsi="Arial" w:cs="Arial"/>
          <w:sz w:val="18"/>
          <w:szCs w:val="18"/>
        </w:rPr>
      </w:pPr>
      <w:r w:rsidRPr="00737028">
        <w:rPr>
          <w:rFonts w:ascii="Arial" w:hAnsi="Arial" w:cs="Arial"/>
          <w:bCs/>
          <w:noProof/>
          <w:kern w:val="0"/>
          <w:sz w:val="28"/>
          <w:szCs w:val="24"/>
          <w:lang w:eastAsia="de-DE"/>
        </w:rPr>
        <w:drawing>
          <wp:inline distT="0" distB="0" distL="0" distR="0" wp14:anchorId="4856AFFD" wp14:editId="40AA64B0">
            <wp:extent cx="4177309" cy="2844800"/>
            <wp:effectExtent l="0" t="0" r="1270" b="0"/>
            <wp:docPr id="6" name="Grafik 1" descr="Ein Bild, das Himmel, draußen, Straße, Spaghettiknot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81332" cy="2847540"/>
                    </a:xfrm>
                    <a:prstGeom prst="rect">
                      <a:avLst/>
                    </a:prstGeom>
                    <a:noFill/>
                    <a:ln>
                      <a:noFill/>
                    </a:ln>
                  </pic:spPr>
                </pic:pic>
              </a:graphicData>
            </a:graphic>
          </wp:inline>
        </w:drawing>
      </w:r>
    </w:p>
    <w:p w:rsidR="00A14478" w:rsidRDefault="00A14478" w:rsidP="00BD0238">
      <w:pPr>
        <w:rPr>
          <w:rFonts w:ascii="Arial" w:hAnsi="Arial" w:cs="Arial"/>
          <w:sz w:val="18"/>
          <w:szCs w:val="18"/>
        </w:rPr>
      </w:pPr>
    </w:p>
    <w:p w:rsidR="00AC2EAA" w:rsidRDefault="00AC2EAA"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3360" behindDoc="0" locked="0" layoutInCell="1" allowOverlap="1" wp14:anchorId="420C3C5A" wp14:editId="6A740DDA">
                <wp:simplePos x="0" y="0"/>
                <wp:positionH relativeFrom="column">
                  <wp:posOffset>4555490</wp:posOffset>
                </wp:positionH>
                <wp:positionV relativeFrom="paragraph">
                  <wp:posOffset>133985</wp:posOffset>
                </wp:positionV>
                <wp:extent cx="1692275" cy="1085850"/>
                <wp:effectExtent l="0" t="0" r="0" b="0"/>
                <wp:wrapNone/>
                <wp:docPr id="11" name="Textfeld 11"/>
                <wp:cNvGraphicFramePr/>
                <a:graphic xmlns:a="http://schemas.openxmlformats.org/drawingml/2006/main">
                  <a:graphicData uri="http://schemas.microsoft.com/office/word/2010/wordprocessingShape">
                    <wps:wsp>
                      <wps:cNvSpPr txBox="1"/>
                      <wps:spPr>
                        <a:xfrm>
                          <a:off x="0" y="0"/>
                          <a:ext cx="1692275" cy="1085850"/>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A14478" w:rsidRPr="00A14478">
                              <w:rPr>
                                <w:rFonts w:ascii="Arial" w:hAnsi="Arial" w:cs="Arial"/>
                                <w:color w:val="000000" w:themeColor="text1"/>
                                <w:sz w:val="16"/>
                                <w:szCs w:val="16"/>
                              </w:rPr>
                              <w:t>Im Rahmen des Umbaus entstanden ein Glasbau mit gastronomischer Einrichtung, der beide bestehenden Gebäude miteinander verbindet, sowie eine Tiefgarage. (Quelle: Schwaiger Group)</w:t>
                            </w:r>
                          </w:p>
                          <w:p w:rsidR="004E07A4" w:rsidRPr="00A15777" w:rsidRDefault="004E07A4">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C3C5A" id="Textfeld 11" o:spid="_x0000_s1027" type="#_x0000_t202" style="position:absolute;margin-left:358.7pt;margin-top:10.55pt;width:133.25pt;height:8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A14478" w:rsidRPr="00A14478">
                        <w:rPr>
                          <w:rFonts w:ascii="Arial" w:hAnsi="Arial" w:cs="Arial"/>
                          <w:color w:val="000000" w:themeColor="text1"/>
                          <w:sz w:val="16"/>
                          <w:szCs w:val="16"/>
                        </w:rPr>
                        <w:t>Im Rahmen des Umbaus entstanden ein Glasbau mit gastronomischer Einrichtung, der beide bestehenden Gebäude miteinander verbindet, sowie eine Tiefgarage. (Quelle: Schwaiger Group)</w:t>
                      </w:r>
                    </w:p>
                    <w:p w:rsidR="004E07A4" w:rsidRPr="00A15777" w:rsidRDefault="004E07A4">
                      <w:pPr>
                        <w:rPr>
                          <w:sz w:val="16"/>
                          <w:szCs w:val="16"/>
                        </w:rPr>
                      </w:pPr>
                    </w:p>
                  </w:txbxContent>
                </v:textbox>
              </v:shape>
            </w:pict>
          </mc:Fallback>
        </mc:AlternateContent>
      </w:r>
    </w:p>
    <w:p w:rsidR="00CE4568" w:rsidRDefault="00A14478" w:rsidP="00BD0238">
      <w:pPr>
        <w:rPr>
          <w:rFonts w:ascii="Arial" w:hAnsi="Arial" w:cs="Arial"/>
          <w:sz w:val="18"/>
          <w:szCs w:val="18"/>
        </w:rPr>
      </w:pPr>
      <w:r w:rsidRPr="00737028">
        <w:rPr>
          <w:rFonts w:ascii="Arial" w:hAnsi="Arial" w:cs="Arial"/>
          <w:bCs/>
          <w:noProof/>
          <w:kern w:val="0"/>
          <w:sz w:val="28"/>
          <w:szCs w:val="24"/>
          <w:lang w:eastAsia="de-DE"/>
        </w:rPr>
        <w:drawing>
          <wp:inline distT="0" distB="0" distL="0" distR="0" wp14:anchorId="693793AC" wp14:editId="14291783">
            <wp:extent cx="4177030" cy="2770588"/>
            <wp:effectExtent l="0" t="0" r="1270" b="0"/>
            <wp:docPr id="8" name="Grafik 10" descr="Ein Bild, das draußen, Baum,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92894" cy="2781110"/>
                    </a:xfrm>
                    <a:prstGeom prst="rect">
                      <a:avLst/>
                    </a:prstGeom>
                    <a:noFill/>
                    <a:ln>
                      <a:noFill/>
                    </a:ln>
                  </pic:spPr>
                </pic:pic>
              </a:graphicData>
            </a:graphic>
          </wp:inline>
        </w:drawing>
      </w:r>
    </w:p>
    <w:p w:rsidR="00D823B6" w:rsidRPr="00922572" w:rsidRDefault="00D823B6" w:rsidP="00BD0238">
      <w:pPr>
        <w:rPr>
          <w:rFonts w:ascii="Arial" w:hAnsi="Arial" w:cs="Arial"/>
          <w:sz w:val="18"/>
          <w:szCs w:val="18"/>
        </w:rPr>
      </w:pPr>
    </w:p>
    <w:p w:rsidR="00D823B6" w:rsidRPr="00922572" w:rsidRDefault="00D823B6" w:rsidP="00BD0238">
      <w:pPr>
        <w:ind w:right="993"/>
        <w:rPr>
          <w:rFonts w:ascii="Arial" w:hAnsi="Arial"/>
          <w:color w:val="000000"/>
          <w:sz w:val="18"/>
          <w:szCs w:val="18"/>
        </w:rPr>
      </w:pPr>
    </w:p>
    <w:p w:rsidR="00F06FBF" w:rsidRDefault="00A14478" w:rsidP="00BD0238">
      <w:pPr>
        <w:rPr>
          <w:sz w:val="18"/>
          <w:szCs w:val="18"/>
        </w:rPr>
      </w:pPr>
      <w:r>
        <w:rPr>
          <w:rFonts w:ascii="Arial" w:hAnsi="Arial" w:cs="Arial"/>
          <w:noProof/>
          <w:sz w:val="18"/>
          <w:szCs w:val="18"/>
        </w:rPr>
        <w:lastRenderedPageBreak/>
        <mc:AlternateContent>
          <mc:Choice Requires="wps">
            <w:drawing>
              <wp:anchor distT="0" distB="0" distL="114300" distR="114300" simplePos="0" relativeHeight="251665408" behindDoc="0" locked="0" layoutInCell="1" allowOverlap="1" wp14:anchorId="569AB7A1" wp14:editId="088376FB">
                <wp:simplePos x="0" y="0"/>
                <wp:positionH relativeFrom="column">
                  <wp:posOffset>4572000</wp:posOffset>
                </wp:positionH>
                <wp:positionV relativeFrom="paragraph">
                  <wp:posOffset>-635</wp:posOffset>
                </wp:positionV>
                <wp:extent cx="1692275" cy="1638300"/>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692275" cy="1638300"/>
                        </a:xfrm>
                        <a:prstGeom prst="rect">
                          <a:avLst/>
                        </a:prstGeom>
                        <a:noFill/>
                        <a:ln w="6350">
                          <a:noFill/>
                        </a:ln>
                      </wps:spPr>
                      <wps:txbx>
                        <w:txbxContent>
                          <w:p w:rsidR="00A14478" w:rsidRPr="00A14478" w:rsidRDefault="00A14478" w:rsidP="00A14478">
                            <w:pPr>
                              <w:rPr>
                                <w:rFonts w:ascii="Arial" w:hAnsi="Arial" w:cs="Arial"/>
                                <w:color w:val="000000" w:themeColor="text1"/>
                                <w:sz w:val="16"/>
                                <w:szCs w:val="16"/>
                              </w:rPr>
                            </w:pPr>
                            <w:r w:rsidRPr="00A21B20">
                              <w:rPr>
                                <w:rFonts w:ascii="Arial" w:hAnsi="Arial" w:cs="Arial"/>
                                <w:color w:val="000000" w:themeColor="text1"/>
                                <w:sz w:val="16"/>
                                <w:szCs w:val="16"/>
                              </w:rPr>
                              <w:t xml:space="preserve">BU: </w:t>
                            </w:r>
                            <w:r w:rsidRPr="00A14478">
                              <w:rPr>
                                <w:rFonts w:ascii="Arial" w:hAnsi="Arial" w:cs="Arial"/>
                                <w:color w:val="000000" w:themeColor="text1"/>
                                <w:sz w:val="16"/>
                                <w:szCs w:val="16"/>
                              </w:rPr>
                              <w:t xml:space="preserve">Für Archivflächen im Keller des </w:t>
                            </w:r>
                            <w:proofErr w:type="spellStart"/>
                            <w:r w:rsidRPr="00A14478">
                              <w:rPr>
                                <w:rFonts w:ascii="Arial" w:hAnsi="Arial" w:cs="Arial"/>
                                <w:color w:val="000000" w:themeColor="text1"/>
                                <w:sz w:val="16"/>
                                <w:szCs w:val="16"/>
                              </w:rPr>
                              <w:t>Centro</w:t>
                            </w:r>
                            <w:proofErr w:type="spellEnd"/>
                            <w:r w:rsidRPr="00A14478">
                              <w:rPr>
                                <w:rFonts w:ascii="Arial" w:hAnsi="Arial" w:cs="Arial"/>
                                <w:color w:val="000000" w:themeColor="text1"/>
                                <w:sz w:val="16"/>
                                <w:szCs w:val="16"/>
                              </w:rPr>
                              <w:t xml:space="preserve"> </w:t>
                            </w:r>
                            <w:proofErr w:type="spellStart"/>
                            <w:r w:rsidRPr="00A14478">
                              <w:rPr>
                                <w:rFonts w:ascii="Arial" w:hAnsi="Arial" w:cs="Arial"/>
                                <w:color w:val="000000" w:themeColor="text1"/>
                                <w:sz w:val="16"/>
                                <w:szCs w:val="16"/>
                              </w:rPr>
                              <w:t>Tesoro</w:t>
                            </w:r>
                            <w:proofErr w:type="spellEnd"/>
                            <w:r w:rsidRPr="00A14478">
                              <w:rPr>
                                <w:rFonts w:ascii="Arial" w:hAnsi="Arial" w:cs="Arial"/>
                                <w:color w:val="000000" w:themeColor="text1"/>
                                <w:sz w:val="16"/>
                                <w:szCs w:val="16"/>
                              </w:rPr>
                              <w:t xml:space="preserve"> wurden die nicht brennbaren und einbruchhemmenden Trennwand-Systeme Typ G von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 eingebaut. </w:t>
                            </w:r>
                          </w:p>
                          <w:p w:rsidR="00A14478" w:rsidRPr="00A21B20" w:rsidRDefault="00A14478" w:rsidP="00A14478">
                            <w:pPr>
                              <w:rPr>
                                <w:rFonts w:ascii="Arial" w:hAnsi="Arial" w:cs="Arial"/>
                                <w:sz w:val="18"/>
                                <w:szCs w:val="18"/>
                              </w:rPr>
                            </w:pPr>
                            <w:r w:rsidRPr="00A14478">
                              <w:rPr>
                                <w:rFonts w:ascii="Arial" w:hAnsi="Arial" w:cs="Arial"/>
                                <w:color w:val="000000" w:themeColor="text1"/>
                                <w:sz w:val="16"/>
                                <w:szCs w:val="16"/>
                              </w:rPr>
                              <w:t>(Quelle: Schwaiger Group)</w:t>
                            </w:r>
                          </w:p>
                          <w:p w:rsidR="00A14478" w:rsidRPr="00A21B20" w:rsidRDefault="00A14478" w:rsidP="00A14478">
                            <w:pP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AB7A1" id="Textfeld 14" o:spid="_x0000_s1028" type="#_x0000_t202" style="position:absolute;margin-left:5in;margin-top:-.05pt;width:133.25pt;height:12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" filled="f" stroked="f" strokeweight=".5pt">
                <v:textbox>
                  <w:txbxContent>
                    <w:p w:rsidR="00A14478" w:rsidRPr="00A14478" w:rsidRDefault="00A14478" w:rsidP="00A14478">
                      <w:pPr>
                        <w:rPr>
                          <w:rFonts w:ascii="Arial" w:hAnsi="Arial" w:cs="Arial"/>
                          <w:color w:val="000000" w:themeColor="text1"/>
                          <w:sz w:val="16"/>
                          <w:szCs w:val="16"/>
                        </w:rPr>
                      </w:pPr>
                      <w:r w:rsidRPr="00A21B20">
                        <w:rPr>
                          <w:rFonts w:ascii="Arial" w:hAnsi="Arial" w:cs="Arial"/>
                          <w:color w:val="000000" w:themeColor="text1"/>
                          <w:sz w:val="16"/>
                          <w:szCs w:val="16"/>
                        </w:rPr>
                        <w:t xml:space="preserve">BU: </w:t>
                      </w:r>
                      <w:r w:rsidRPr="00A14478">
                        <w:rPr>
                          <w:rFonts w:ascii="Arial" w:hAnsi="Arial" w:cs="Arial"/>
                          <w:color w:val="000000" w:themeColor="text1"/>
                          <w:sz w:val="16"/>
                          <w:szCs w:val="16"/>
                        </w:rPr>
                        <w:t xml:space="preserve">Für Archivflächen im Keller des </w:t>
                      </w:r>
                      <w:proofErr w:type="spellStart"/>
                      <w:r w:rsidRPr="00A14478">
                        <w:rPr>
                          <w:rFonts w:ascii="Arial" w:hAnsi="Arial" w:cs="Arial"/>
                          <w:color w:val="000000" w:themeColor="text1"/>
                          <w:sz w:val="16"/>
                          <w:szCs w:val="16"/>
                        </w:rPr>
                        <w:t>Centro</w:t>
                      </w:r>
                      <w:proofErr w:type="spellEnd"/>
                      <w:r w:rsidRPr="00A14478">
                        <w:rPr>
                          <w:rFonts w:ascii="Arial" w:hAnsi="Arial" w:cs="Arial"/>
                          <w:color w:val="000000" w:themeColor="text1"/>
                          <w:sz w:val="16"/>
                          <w:szCs w:val="16"/>
                        </w:rPr>
                        <w:t xml:space="preserve"> </w:t>
                      </w:r>
                      <w:proofErr w:type="spellStart"/>
                      <w:r w:rsidRPr="00A14478">
                        <w:rPr>
                          <w:rFonts w:ascii="Arial" w:hAnsi="Arial" w:cs="Arial"/>
                          <w:color w:val="000000" w:themeColor="text1"/>
                          <w:sz w:val="16"/>
                          <w:szCs w:val="16"/>
                        </w:rPr>
                        <w:t>Tesoro</w:t>
                      </w:r>
                      <w:proofErr w:type="spellEnd"/>
                      <w:r w:rsidRPr="00A14478">
                        <w:rPr>
                          <w:rFonts w:ascii="Arial" w:hAnsi="Arial" w:cs="Arial"/>
                          <w:color w:val="000000" w:themeColor="text1"/>
                          <w:sz w:val="16"/>
                          <w:szCs w:val="16"/>
                        </w:rPr>
                        <w:t xml:space="preserve"> wurden die nicht brennbaren und einbruchhemmenden Trennwand-Systeme Typ G von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 eingebaut. </w:t>
                      </w:r>
                    </w:p>
                    <w:p w:rsidR="00A14478" w:rsidRPr="00A21B20" w:rsidRDefault="00A14478" w:rsidP="00A14478">
                      <w:pPr>
                        <w:rPr>
                          <w:rFonts w:ascii="Arial" w:hAnsi="Arial" w:cs="Arial"/>
                          <w:sz w:val="18"/>
                          <w:szCs w:val="18"/>
                        </w:rPr>
                      </w:pPr>
                      <w:r w:rsidRPr="00A14478">
                        <w:rPr>
                          <w:rFonts w:ascii="Arial" w:hAnsi="Arial" w:cs="Arial"/>
                          <w:color w:val="000000" w:themeColor="text1"/>
                          <w:sz w:val="16"/>
                          <w:szCs w:val="16"/>
                        </w:rPr>
                        <w:t>(Quelle: Schwaiger Group)</w:t>
                      </w:r>
                    </w:p>
                    <w:p w:rsidR="00A14478" w:rsidRPr="00A21B20" w:rsidRDefault="00A14478" w:rsidP="00A14478">
                      <w:pPr>
                        <w:rPr>
                          <w:rFonts w:ascii="Arial" w:hAnsi="Arial" w:cs="Arial"/>
                          <w:sz w:val="16"/>
                          <w:szCs w:val="16"/>
                        </w:rPr>
                      </w:pPr>
                    </w:p>
                  </w:txbxContent>
                </v:textbox>
              </v:shape>
            </w:pict>
          </mc:Fallback>
        </mc:AlternateContent>
      </w:r>
      <w:r w:rsidRPr="00737028">
        <w:rPr>
          <w:rFonts w:ascii="Arial" w:hAnsi="Arial" w:cs="Arial"/>
          <w:bCs/>
          <w:noProof/>
          <w:kern w:val="0"/>
          <w:sz w:val="28"/>
          <w:szCs w:val="24"/>
          <w:lang w:eastAsia="de-DE"/>
        </w:rPr>
        <w:drawing>
          <wp:inline distT="0" distB="0" distL="0" distR="0" wp14:anchorId="648F9C28" wp14:editId="74668E42">
            <wp:extent cx="4289227" cy="2095500"/>
            <wp:effectExtent l="0" t="0" r="3810" b="0"/>
            <wp:docPr id="13" name="Grafik 7" descr="Ein Bild, das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2771" cy="2097232"/>
                    </a:xfrm>
                    <a:prstGeom prst="rect">
                      <a:avLst/>
                    </a:prstGeom>
                    <a:noFill/>
                    <a:ln>
                      <a:noFill/>
                    </a:ln>
                  </pic:spPr>
                </pic:pic>
              </a:graphicData>
            </a:graphic>
          </wp:inline>
        </w:drawing>
      </w:r>
    </w:p>
    <w:p w:rsidR="00A14478" w:rsidRDefault="00A14478" w:rsidP="00BD0238">
      <w:pPr>
        <w:rPr>
          <w:sz w:val="18"/>
          <w:szCs w:val="18"/>
        </w:rPr>
      </w:pPr>
    </w:p>
    <w:p w:rsidR="00A14478" w:rsidRDefault="00A14478" w:rsidP="00BD0238">
      <w:pPr>
        <w:rPr>
          <w:sz w:val="18"/>
          <w:szCs w:val="18"/>
        </w:rPr>
      </w:pPr>
      <w:r>
        <w:rPr>
          <w:rFonts w:ascii="Arial" w:hAnsi="Arial" w:cs="Arial"/>
          <w:noProof/>
          <w:sz w:val="18"/>
          <w:szCs w:val="18"/>
        </w:rPr>
        <mc:AlternateContent>
          <mc:Choice Requires="wps">
            <w:drawing>
              <wp:anchor distT="0" distB="0" distL="114300" distR="114300" simplePos="0" relativeHeight="251667456" behindDoc="0" locked="0" layoutInCell="1" allowOverlap="1" wp14:anchorId="4ABDE91B" wp14:editId="72A49FA0">
                <wp:simplePos x="0" y="0"/>
                <wp:positionH relativeFrom="column">
                  <wp:posOffset>4568190</wp:posOffset>
                </wp:positionH>
                <wp:positionV relativeFrom="paragraph">
                  <wp:posOffset>119380</wp:posOffset>
                </wp:positionV>
                <wp:extent cx="1692275" cy="1638300"/>
                <wp:effectExtent l="0" t="0" r="0" b="0"/>
                <wp:wrapNone/>
                <wp:docPr id="16" name="Textfeld 16"/>
                <wp:cNvGraphicFramePr/>
                <a:graphic xmlns:a="http://schemas.openxmlformats.org/drawingml/2006/main">
                  <a:graphicData uri="http://schemas.microsoft.com/office/word/2010/wordprocessingShape">
                    <wps:wsp>
                      <wps:cNvSpPr txBox="1"/>
                      <wps:spPr>
                        <a:xfrm>
                          <a:off x="0" y="0"/>
                          <a:ext cx="1692275" cy="1638300"/>
                        </a:xfrm>
                        <a:prstGeom prst="rect">
                          <a:avLst/>
                        </a:prstGeom>
                        <a:noFill/>
                        <a:ln w="6350">
                          <a:noFill/>
                        </a:ln>
                      </wps:spPr>
                      <wps:txbx>
                        <w:txbxContent>
                          <w:p w:rsidR="00A14478" w:rsidRPr="00A21B20" w:rsidRDefault="00A14478" w:rsidP="00A14478">
                            <w:pPr>
                              <w:rPr>
                                <w:rFonts w:ascii="Arial" w:hAnsi="Arial" w:cs="Arial"/>
                                <w:sz w:val="18"/>
                                <w:szCs w:val="18"/>
                              </w:rPr>
                            </w:pPr>
                            <w:r w:rsidRPr="00A21B20">
                              <w:rPr>
                                <w:rFonts w:ascii="Arial" w:hAnsi="Arial" w:cs="Arial"/>
                                <w:color w:val="000000" w:themeColor="text1"/>
                                <w:sz w:val="16"/>
                                <w:szCs w:val="16"/>
                              </w:rPr>
                              <w:t xml:space="preserve">BU: </w:t>
                            </w:r>
                            <w:r w:rsidRPr="00A14478">
                              <w:rPr>
                                <w:rFonts w:ascii="Arial" w:hAnsi="Arial" w:cs="Arial"/>
                                <w:color w:val="000000" w:themeColor="text1"/>
                                <w:sz w:val="16"/>
                                <w:szCs w:val="16"/>
                              </w:rPr>
                              <w:t xml:space="preserve">Im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-Werk in Aichach fügt eine vollautomatisierte Roboterzelle alle UTS-Teile zusammen und verbindet sie mittels Stanznietverfahren zu einem Wand- oder Türelement. (Quelle: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 GmbH &amp; Co. KG)</w:t>
                            </w:r>
                          </w:p>
                          <w:p w:rsidR="00A14478" w:rsidRPr="00A21B20" w:rsidRDefault="00A14478" w:rsidP="00A14478">
                            <w:pP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DE91B" id="Textfeld 16" o:spid="_x0000_s1029" type="#_x0000_t202" style="position:absolute;margin-left:359.7pt;margin-top:9.4pt;width:133.25pt;height:1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" filled="f" stroked="f" strokeweight=".5pt">
                <v:textbox>
                  <w:txbxContent>
                    <w:p w:rsidR="00A14478" w:rsidRPr="00A21B20" w:rsidRDefault="00A14478" w:rsidP="00A14478">
                      <w:pPr>
                        <w:rPr>
                          <w:rFonts w:ascii="Arial" w:hAnsi="Arial" w:cs="Arial"/>
                          <w:sz w:val="18"/>
                          <w:szCs w:val="18"/>
                        </w:rPr>
                      </w:pPr>
                      <w:r w:rsidRPr="00A21B20">
                        <w:rPr>
                          <w:rFonts w:ascii="Arial" w:hAnsi="Arial" w:cs="Arial"/>
                          <w:color w:val="000000" w:themeColor="text1"/>
                          <w:sz w:val="16"/>
                          <w:szCs w:val="16"/>
                        </w:rPr>
                        <w:t xml:space="preserve">BU: </w:t>
                      </w:r>
                      <w:r w:rsidRPr="00A14478">
                        <w:rPr>
                          <w:rFonts w:ascii="Arial" w:hAnsi="Arial" w:cs="Arial"/>
                          <w:color w:val="000000" w:themeColor="text1"/>
                          <w:sz w:val="16"/>
                          <w:szCs w:val="16"/>
                        </w:rPr>
                        <w:t xml:space="preserve">Im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-Werk in Aichach fügt eine vollautomatisierte Roboterzelle alle UTS-Teile zusammen und verbindet sie mittels Stanznietverfahren zu einem Wand- oder Türelement. (Quelle: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 GmbH &amp; Co. KG)</w:t>
                      </w:r>
                    </w:p>
                    <w:p w:rsidR="00A14478" w:rsidRPr="00A21B20" w:rsidRDefault="00A14478" w:rsidP="00A14478">
                      <w:pPr>
                        <w:rPr>
                          <w:rFonts w:ascii="Arial" w:hAnsi="Arial" w:cs="Arial"/>
                          <w:sz w:val="16"/>
                          <w:szCs w:val="16"/>
                        </w:rPr>
                      </w:pPr>
                    </w:p>
                  </w:txbxContent>
                </v:textbox>
              </v:shape>
            </w:pict>
          </mc:Fallback>
        </mc:AlternateContent>
      </w:r>
    </w:p>
    <w:p w:rsidR="00A14478" w:rsidRDefault="00A14478" w:rsidP="00BD0238">
      <w:pPr>
        <w:rPr>
          <w:sz w:val="18"/>
          <w:szCs w:val="18"/>
        </w:rPr>
      </w:pPr>
      <w:r w:rsidRPr="00737028">
        <w:rPr>
          <w:rFonts w:ascii="Arial" w:hAnsi="Arial" w:cs="Arial"/>
          <w:bCs/>
          <w:noProof/>
          <w:kern w:val="0"/>
          <w:sz w:val="22"/>
          <w:szCs w:val="22"/>
          <w:lang w:eastAsia="de-DE"/>
        </w:rPr>
        <w:drawing>
          <wp:inline distT="0" distB="0" distL="0" distR="0" wp14:anchorId="319779FF" wp14:editId="1B2FFF09">
            <wp:extent cx="4272528" cy="2552700"/>
            <wp:effectExtent l="0" t="0" r="0" b="0"/>
            <wp:docPr id="15" name="Grafik 4" descr="_MIM7712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_MIM7712_kl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6903" cy="2555314"/>
                    </a:xfrm>
                    <a:prstGeom prst="rect">
                      <a:avLst/>
                    </a:prstGeom>
                    <a:noFill/>
                    <a:ln>
                      <a:noFill/>
                    </a:ln>
                  </pic:spPr>
                </pic:pic>
              </a:graphicData>
            </a:graphic>
          </wp:inline>
        </w:drawing>
      </w:r>
    </w:p>
    <w:p w:rsidR="00A14478" w:rsidRDefault="00A14478" w:rsidP="00BD0238">
      <w:pPr>
        <w:rPr>
          <w:sz w:val="18"/>
          <w:szCs w:val="18"/>
        </w:rPr>
      </w:pPr>
      <w:r>
        <w:rPr>
          <w:rFonts w:ascii="Arial" w:hAnsi="Arial" w:cs="Arial"/>
          <w:noProof/>
          <w:sz w:val="18"/>
          <w:szCs w:val="18"/>
        </w:rPr>
        <mc:AlternateContent>
          <mc:Choice Requires="wps">
            <w:drawing>
              <wp:anchor distT="0" distB="0" distL="114300" distR="114300" simplePos="0" relativeHeight="251669504" behindDoc="0" locked="0" layoutInCell="1" allowOverlap="1" wp14:anchorId="428AF784" wp14:editId="6846505B">
                <wp:simplePos x="0" y="0"/>
                <wp:positionH relativeFrom="column">
                  <wp:posOffset>4577080</wp:posOffset>
                </wp:positionH>
                <wp:positionV relativeFrom="paragraph">
                  <wp:posOffset>175895</wp:posOffset>
                </wp:positionV>
                <wp:extent cx="1692275" cy="1638300"/>
                <wp:effectExtent l="0" t="0" r="0" b="0"/>
                <wp:wrapNone/>
                <wp:docPr id="18" name="Textfeld 18"/>
                <wp:cNvGraphicFramePr/>
                <a:graphic xmlns:a="http://schemas.openxmlformats.org/drawingml/2006/main">
                  <a:graphicData uri="http://schemas.microsoft.com/office/word/2010/wordprocessingShape">
                    <wps:wsp>
                      <wps:cNvSpPr txBox="1"/>
                      <wps:spPr>
                        <a:xfrm>
                          <a:off x="0" y="0"/>
                          <a:ext cx="1692275" cy="1638300"/>
                        </a:xfrm>
                        <a:prstGeom prst="rect">
                          <a:avLst/>
                        </a:prstGeom>
                        <a:noFill/>
                        <a:ln w="6350">
                          <a:noFill/>
                        </a:ln>
                      </wps:spPr>
                      <wps:txbx>
                        <w:txbxContent>
                          <w:p w:rsidR="00A14478" w:rsidRPr="00A21B20" w:rsidRDefault="00A14478" w:rsidP="00A14478">
                            <w:pPr>
                              <w:rPr>
                                <w:rFonts w:ascii="Arial" w:hAnsi="Arial" w:cs="Arial"/>
                                <w:sz w:val="16"/>
                                <w:szCs w:val="16"/>
                              </w:rPr>
                            </w:pPr>
                            <w:r w:rsidRPr="00A21B20">
                              <w:rPr>
                                <w:rFonts w:ascii="Arial" w:hAnsi="Arial" w:cs="Arial"/>
                                <w:color w:val="000000" w:themeColor="text1"/>
                                <w:sz w:val="16"/>
                                <w:szCs w:val="16"/>
                              </w:rPr>
                              <w:t xml:space="preserve">BU: </w:t>
                            </w:r>
                            <w:r w:rsidRPr="00A14478">
                              <w:rPr>
                                <w:rFonts w:ascii="Arial" w:hAnsi="Arial" w:cs="Arial"/>
                                <w:color w:val="000000" w:themeColor="text1"/>
                                <w:sz w:val="16"/>
                                <w:szCs w:val="16"/>
                              </w:rPr>
                              <w:t xml:space="preserve">Die hohe Gestaltungsfreiheit und Flexibilität bei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-Produkten macht es möglich, Tore problemlos auf das Farb- und Architekturkonzept eines Gebäudes abzustimmen. (Quelle: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 GmbH &amp; Co.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8AF784" id="Textfeld 18" o:spid="_x0000_s1030" type="#_x0000_t202" style="position:absolute;margin-left:360.4pt;margin-top:13.85pt;width:133.25pt;height:12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" filled="f" stroked="f" strokeweight=".5pt">
                <v:textbox>
                  <w:txbxContent>
                    <w:p w:rsidR="00A14478" w:rsidRPr="00A21B20" w:rsidRDefault="00A14478" w:rsidP="00A14478">
                      <w:pPr>
                        <w:rPr>
                          <w:rFonts w:ascii="Arial" w:hAnsi="Arial" w:cs="Arial"/>
                          <w:sz w:val="16"/>
                          <w:szCs w:val="16"/>
                        </w:rPr>
                      </w:pPr>
                      <w:r w:rsidRPr="00A21B20">
                        <w:rPr>
                          <w:rFonts w:ascii="Arial" w:hAnsi="Arial" w:cs="Arial"/>
                          <w:color w:val="000000" w:themeColor="text1"/>
                          <w:sz w:val="16"/>
                          <w:szCs w:val="16"/>
                        </w:rPr>
                        <w:t xml:space="preserve">BU: </w:t>
                      </w:r>
                      <w:r w:rsidRPr="00A14478">
                        <w:rPr>
                          <w:rFonts w:ascii="Arial" w:hAnsi="Arial" w:cs="Arial"/>
                          <w:color w:val="000000" w:themeColor="text1"/>
                          <w:sz w:val="16"/>
                          <w:szCs w:val="16"/>
                        </w:rPr>
                        <w:t xml:space="preserve">Die hohe Gestaltungsfreiheit und Flexibilität bei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-Produkten macht es möglich, Tore problemlos auf das Farb- und Architekturkonzept eines Gebäudes abzustimmen. (Quelle: </w:t>
                      </w:r>
                      <w:proofErr w:type="spellStart"/>
                      <w:r w:rsidRPr="00A14478">
                        <w:rPr>
                          <w:rFonts w:ascii="Arial" w:hAnsi="Arial" w:cs="Arial"/>
                          <w:color w:val="000000" w:themeColor="text1"/>
                          <w:sz w:val="16"/>
                          <w:szCs w:val="16"/>
                        </w:rPr>
                        <w:t>Käuferle</w:t>
                      </w:r>
                      <w:proofErr w:type="spellEnd"/>
                      <w:r w:rsidRPr="00A14478">
                        <w:rPr>
                          <w:rFonts w:ascii="Arial" w:hAnsi="Arial" w:cs="Arial"/>
                          <w:color w:val="000000" w:themeColor="text1"/>
                          <w:sz w:val="16"/>
                          <w:szCs w:val="16"/>
                        </w:rPr>
                        <w:t xml:space="preserve"> GmbH &amp; Co. KG)</w:t>
                      </w:r>
                    </w:p>
                  </w:txbxContent>
                </v:textbox>
              </v:shape>
            </w:pict>
          </mc:Fallback>
        </mc:AlternateContent>
      </w:r>
    </w:p>
    <w:p w:rsidR="00A14478" w:rsidRDefault="00A14478" w:rsidP="00BD0238">
      <w:pPr>
        <w:rPr>
          <w:sz w:val="18"/>
          <w:szCs w:val="18"/>
        </w:rPr>
      </w:pPr>
    </w:p>
    <w:p w:rsidR="00A14478" w:rsidRPr="00922572" w:rsidRDefault="00A14478" w:rsidP="00BD0238">
      <w:pPr>
        <w:rPr>
          <w:sz w:val="18"/>
          <w:szCs w:val="18"/>
        </w:rPr>
      </w:pPr>
      <w:r w:rsidRPr="00737028">
        <w:rPr>
          <w:rFonts w:ascii="Arial" w:hAnsi="Arial" w:cs="Arial"/>
          <w:bCs/>
          <w:noProof/>
          <w:kern w:val="0"/>
          <w:sz w:val="28"/>
          <w:szCs w:val="24"/>
          <w:lang w:eastAsia="de-DE"/>
        </w:rPr>
        <w:drawing>
          <wp:inline distT="0" distB="0" distL="0" distR="0" wp14:anchorId="5899984B" wp14:editId="177448F2">
            <wp:extent cx="4243222" cy="2692400"/>
            <wp:effectExtent l="0" t="0" r="0" b="0"/>
            <wp:docPr id="17" name="Bild 1" descr="IMG_0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MG_093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48006" cy="2695436"/>
                    </a:xfrm>
                    <a:prstGeom prst="rect">
                      <a:avLst/>
                    </a:prstGeom>
                    <a:noFill/>
                    <a:ln>
                      <a:noFill/>
                    </a:ln>
                  </pic:spPr>
                </pic:pic>
              </a:graphicData>
            </a:graphic>
          </wp:inline>
        </w:drawing>
      </w:r>
    </w:p>
    <w:sectPr w:rsidR="00A14478" w:rsidRPr="00922572" w:rsidSect="00CE4568">
      <w:headerReference w:type="default" r:id="rId16"/>
      <w:footerReference w:type="default" r:id="rId17"/>
      <w:headerReference w:type="first" r:id="rId18"/>
      <w:footerReference w:type="first" r:id="rId19"/>
      <w:pgSz w:w="11900" w:h="16840"/>
      <w:pgMar w:top="2268" w:right="3969" w:bottom="1449"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8F1B61" w:rsidRDefault="008F1B61" w:rsidP="00316938">
      <w:r>
        <w:separator/>
      </w:r>
    </w:p>
  </w:endnote>
  <w:endnote w:type="continuationSeparator" w:id="0">
    <w:p w:rsidR="008F1B61" w:rsidRDefault="008F1B61" w:rsidP="003169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panose1 w:val="020B0604020202020204"/>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922572">
    <w:pPr>
      <w:pStyle w:val="Fuzeile"/>
    </w:pPr>
    <w:r>
      <w:rPr>
        <w:noProof/>
      </w:rPr>
      <w:drawing>
        <wp:anchor distT="0" distB="0" distL="114300" distR="114300" simplePos="0" relativeHeight="251667456" behindDoc="1" locked="0" layoutInCell="1" allowOverlap="1" wp14:anchorId="65A9C1D9" wp14:editId="3C7E81E4">
          <wp:simplePos x="0" y="0"/>
          <wp:positionH relativeFrom="column">
            <wp:posOffset>4573220</wp:posOffset>
          </wp:positionH>
          <wp:positionV relativeFrom="paragraph">
            <wp:posOffset>-1176951</wp:posOffset>
          </wp:positionV>
          <wp:extent cx="2250960" cy="179895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rotWithShape="1">
                  <a:blip r:embed="rId1">
                    <a:extLst>
                      <a:ext uri="{28A0092B-C50C-407E-A947-70E740481C1C}">
                        <a14:useLocalDpi xmlns:a14="http://schemas.microsoft.com/office/drawing/2010/main" val="0"/>
                      </a:ext>
                    </a:extLst>
                  </a:blip>
                  <a:srcRect l="70103"/>
                  <a:stretch/>
                </pic:blipFill>
                <pic:spPr bwMode="auto">
                  <a:xfrm>
                    <a:off x="0" y="0"/>
                    <a:ext cx="2250960" cy="1798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Fuzeile"/>
    </w:pPr>
    <w:r>
      <w:rPr>
        <w:noProof/>
      </w:rPr>
      <w:drawing>
        <wp:anchor distT="0" distB="0" distL="114300" distR="114300" simplePos="0" relativeHeight="251663360" behindDoc="1" locked="0" layoutInCell="1" allowOverlap="1" wp14:anchorId="46E588E1" wp14:editId="6EC1008B">
          <wp:simplePos x="0" y="0"/>
          <wp:positionH relativeFrom="column">
            <wp:posOffset>-710151</wp:posOffset>
          </wp:positionH>
          <wp:positionV relativeFrom="paragraph">
            <wp:posOffset>-1191426</wp:posOffset>
          </wp:positionV>
          <wp:extent cx="7528560" cy="1798819"/>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a:blip r:embed="rId1">
                    <a:extLst>
                      <a:ext uri="{28A0092B-C50C-407E-A947-70E740481C1C}">
                        <a14:useLocalDpi xmlns:a14="http://schemas.microsoft.com/office/drawing/2010/main" val="0"/>
                      </a:ext>
                    </a:extLst>
                  </a:blip>
                  <a:stretch>
                    <a:fillRect/>
                  </a:stretch>
                </pic:blipFill>
                <pic:spPr>
                  <a:xfrm>
                    <a:off x="0" y="0"/>
                    <a:ext cx="7671159" cy="183289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8F1B61" w:rsidRDefault="008F1B61" w:rsidP="00316938">
      <w:r>
        <w:separator/>
      </w:r>
    </w:p>
  </w:footnote>
  <w:footnote w:type="continuationSeparator" w:id="0">
    <w:p w:rsidR="008F1B61" w:rsidRDefault="008F1B61" w:rsidP="003169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D823B6">
    <w:pPr>
      <w:pStyle w:val="Kopfzeile"/>
    </w:pPr>
    <w:r>
      <w:rPr>
        <w:noProof/>
      </w:rPr>
      <mc:AlternateContent>
        <mc:Choice Requires="wps">
          <w:drawing>
            <wp:anchor distT="0" distB="0" distL="114300" distR="114300" simplePos="0" relativeHeight="251665408" behindDoc="0" locked="0" layoutInCell="1" allowOverlap="1">
              <wp:simplePos x="0" y="0"/>
              <wp:positionH relativeFrom="column">
                <wp:posOffset>-88265</wp:posOffset>
              </wp:positionH>
              <wp:positionV relativeFrom="paragraph">
                <wp:posOffset>-112232</wp:posOffset>
              </wp:positionV>
              <wp:extent cx="2824682" cy="298764"/>
              <wp:effectExtent l="0" t="0" r="0" b="6350"/>
              <wp:wrapNone/>
              <wp:docPr id="5" name="Textfeld 5"/>
              <wp:cNvGraphicFramePr/>
              <a:graphic xmlns:a="http://schemas.openxmlformats.org/drawingml/2006/main">
                <a:graphicData uri="http://schemas.microsoft.com/office/word/2010/wordprocessingShape">
                  <wps:wsp>
                    <wps:cNvSpPr txBox="1"/>
                    <wps:spPr>
                      <a:xfrm>
                        <a:off x="0" y="0"/>
                        <a:ext cx="2824682" cy="298764"/>
                      </a:xfrm>
                      <a:prstGeom prst="rect">
                        <a:avLst/>
                      </a:prstGeom>
                      <a:solidFill>
                        <a:schemeClr val="lt1"/>
                      </a:solidFill>
                      <a:ln w="6350">
                        <a:noFill/>
                      </a:ln>
                    </wps:spPr>
                    <wps:txbx>
                      <w:txbxContent>
                        <w:p w:rsidR="00D823B6" w:rsidRPr="00CE4568" w:rsidRDefault="00AC2EAA">
                          <w:pPr>
                            <w:rPr>
                              <w:rFonts w:ascii="Arial" w:hAnsi="Arial" w:cs="Arial"/>
                              <w:b/>
                              <w:bCs/>
                              <w:color w:val="FFFFFF" w:themeColor="background1"/>
                              <w:sz w:val="26"/>
                              <w:szCs w:val="26"/>
                              <w14:textFill>
                                <w14:noFill/>
                              </w14:textFill>
                            </w:rPr>
                          </w:pPr>
                          <w:r>
                            <w:rPr>
                              <w:rFonts w:ascii="Arial" w:hAnsi="Arial" w:cs="Arial"/>
                              <w:b/>
                              <w:bCs/>
                              <w:sz w:val="26"/>
                              <w:szCs w:val="26"/>
                            </w:rPr>
                            <w:t>Referenzbericht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5" o:spid="_x0000_s1031" type="#_x0000_t202" style="position:absolute;margin-left:-6.95pt;margin-top:-8.85pt;width:222.4pt;height:23.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" fillcolor="white [3201]" stroked="f" strokeweight=".5pt">
              <v:textbox>
                <w:txbxContent>
                  <w:p w:rsidR="00D823B6" w:rsidRPr="00CE4568" w:rsidRDefault="00AC2EAA">
                    <w:pPr>
                      <w:rPr>
                        <w:rFonts w:ascii="Arial" w:hAnsi="Arial" w:cs="Arial"/>
                        <w:b/>
                        <w:bCs/>
                        <w:color w:val="FFFFFF" w:themeColor="background1"/>
                        <w:sz w:val="26"/>
                        <w:szCs w:val="26"/>
                        <w14:textFill>
                          <w14:noFill/>
                        </w14:textFill>
                      </w:rPr>
                    </w:pPr>
                    <w:r>
                      <w:rPr>
                        <w:rFonts w:ascii="Arial" w:hAnsi="Arial" w:cs="Arial"/>
                        <w:b/>
                        <w:bCs/>
                        <w:sz w:val="26"/>
                        <w:szCs w:val="26"/>
                      </w:rPr>
                      <w:t>Referenzbericht</w:t>
                    </w:r>
                  </w:p>
                </w:txbxContent>
              </v:textbox>
            </v:shape>
          </w:pict>
        </mc:Fallback>
      </mc:AlternateContent>
    </w:r>
    <w:r w:rsidR="00865C41">
      <w:rPr>
        <w:noProof/>
      </w:rPr>
      <w:drawing>
        <wp:anchor distT="0" distB="0" distL="114300" distR="114300" simplePos="0" relativeHeight="251664384" behindDoc="1" locked="1" layoutInCell="1" allowOverlap="1">
          <wp:simplePos x="0" y="0"/>
          <wp:positionH relativeFrom="column">
            <wp:posOffset>-700405</wp:posOffset>
          </wp:positionH>
          <wp:positionV relativeFrom="page">
            <wp:posOffset>6985</wp:posOffset>
          </wp:positionV>
          <wp:extent cx="7529830" cy="88773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aeuferle_BB-Header-2_200320.png"/>
                  <pic:cNvPicPr/>
                </pic:nvPicPr>
                <pic:blipFill>
                  <a:blip r:embed="rId1">
                    <a:extLst>
                      <a:ext uri="{28A0092B-C50C-407E-A947-70E740481C1C}">
                        <a14:useLocalDpi xmlns:a14="http://schemas.microsoft.com/office/drawing/2010/main" val="0"/>
                      </a:ext>
                    </a:extLst>
                  </a:blip>
                  <a:stretch>
                    <a:fillRect/>
                  </a:stretch>
                </pic:blipFill>
                <pic:spPr>
                  <a:xfrm>
                    <a:off x="0" y="0"/>
                    <a:ext cx="7529830" cy="88773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Kopfzeile"/>
    </w:pPr>
    <w:r>
      <w:rPr>
        <w:noProof/>
      </w:rPr>
      <w:drawing>
        <wp:anchor distT="0" distB="0" distL="114300" distR="114300" simplePos="0" relativeHeight="251661312" behindDoc="1" locked="1" layoutInCell="1" allowOverlap="1" wp14:anchorId="369B3C57" wp14:editId="7C669B36">
          <wp:simplePos x="0" y="0"/>
          <wp:positionH relativeFrom="margin">
            <wp:posOffset>-695960</wp:posOffset>
          </wp:positionH>
          <wp:positionV relativeFrom="margin">
            <wp:posOffset>-1419225</wp:posOffset>
          </wp:positionV>
          <wp:extent cx="7516495" cy="63246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aeuferle_BB-Header_200320.png"/>
                  <pic:cNvPicPr/>
                </pic:nvPicPr>
                <pic:blipFill>
                  <a:blip r:embed="rId1">
                    <a:extLst>
                      <a:ext uri="{28A0092B-C50C-407E-A947-70E740481C1C}">
                        <a14:useLocalDpi xmlns:a14="http://schemas.microsoft.com/office/drawing/2010/main" val="0"/>
                      </a:ext>
                    </a:extLst>
                  </a:blip>
                  <a:stretch>
                    <a:fillRect/>
                  </a:stretch>
                </pic:blipFill>
                <pic:spPr>
                  <a:xfrm>
                    <a:off x="0" y="0"/>
                    <a:ext cx="7516495" cy="63246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6938"/>
    <w:rsid w:val="00020651"/>
    <w:rsid w:val="00174047"/>
    <w:rsid w:val="00193ED7"/>
    <w:rsid w:val="001B39CC"/>
    <w:rsid w:val="00263D84"/>
    <w:rsid w:val="00297794"/>
    <w:rsid w:val="00316938"/>
    <w:rsid w:val="00453644"/>
    <w:rsid w:val="004B51FA"/>
    <w:rsid w:val="004E07A4"/>
    <w:rsid w:val="005225DC"/>
    <w:rsid w:val="00533575"/>
    <w:rsid w:val="005D0472"/>
    <w:rsid w:val="00682269"/>
    <w:rsid w:val="006D6AB6"/>
    <w:rsid w:val="007038CC"/>
    <w:rsid w:val="00865C41"/>
    <w:rsid w:val="0087368C"/>
    <w:rsid w:val="00874E88"/>
    <w:rsid w:val="008F1B61"/>
    <w:rsid w:val="00922572"/>
    <w:rsid w:val="00973C75"/>
    <w:rsid w:val="009E0C87"/>
    <w:rsid w:val="00A07797"/>
    <w:rsid w:val="00A14478"/>
    <w:rsid w:val="00A15777"/>
    <w:rsid w:val="00A21B20"/>
    <w:rsid w:val="00A50641"/>
    <w:rsid w:val="00AC2EAA"/>
    <w:rsid w:val="00B257B2"/>
    <w:rsid w:val="00BD0238"/>
    <w:rsid w:val="00C461F9"/>
    <w:rsid w:val="00C5708D"/>
    <w:rsid w:val="00C66ECF"/>
    <w:rsid w:val="00CE4568"/>
    <w:rsid w:val="00D823B6"/>
    <w:rsid w:val="00E57A52"/>
    <w:rsid w:val="00E662DA"/>
    <w:rsid w:val="00E744EF"/>
    <w:rsid w:val="00ED5847"/>
    <w:rsid w:val="00FE1B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D9CB0E"/>
  <w15:chartTrackingRefBased/>
  <w15:docId w15:val="{9AB55562-0D29-9749-83D4-49669CD05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23B6"/>
    <w:pPr>
      <w:suppressAutoHyphens/>
      <w:spacing w:line="100" w:lineRule="atLeast"/>
    </w:pPr>
    <w:rPr>
      <w:rFonts w:ascii="Times New Roman" w:eastAsia="Times New Roman" w:hAnsi="Times New Roman" w:cs="Times New Roman"/>
      <w:kern w:val="1"/>
      <w:sz w:val="20"/>
      <w:szCs w:val="20"/>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KopfzeileZchn">
    <w:name w:val="Kopfzeile Zchn"/>
    <w:basedOn w:val="Absatz-Standardschriftart"/>
    <w:link w:val="Kopfzeile"/>
    <w:uiPriority w:val="99"/>
    <w:rsid w:val="00316938"/>
  </w:style>
  <w:style w:type="paragraph" w:styleId="Fuzeile">
    <w:name w:val="footer"/>
    <w:basedOn w:val="Standard"/>
    <w:link w:val="Fu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FuzeileZchn">
    <w:name w:val="Fußzeile Zchn"/>
    <w:basedOn w:val="Absatz-Standardschriftart"/>
    <w:link w:val="Fuzeile"/>
    <w:uiPriority w:val="99"/>
    <w:rsid w:val="00316938"/>
  </w:style>
  <w:style w:type="paragraph" w:customStyle="1" w:styleId="EinfAbs">
    <w:name w:val="[Einf. Abs.]"/>
    <w:basedOn w:val="Standard"/>
    <w:uiPriority w:val="99"/>
    <w:rsid w:val="00316938"/>
    <w:pPr>
      <w:suppressAutoHyphens w:val="0"/>
      <w:autoSpaceDE w:val="0"/>
      <w:autoSpaceDN w:val="0"/>
      <w:adjustRightInd w:val="0"/>
      <w:spacing w:line="288" w:lineRule="auto"/>
      <w:textAlignment w:val="center"/>
    </w:pPr>
    <w:rPr>
      <w:rFonts w:ascii="MinionPro-Regular" w:eastAsiaTheme="minorHAnsi" w:hAnsi="MinionPro-Regular" w:cs="MinionPro-Regular"/>
      <w:color w:val="000000"/>
      <w:kern w:val="0"/>
      <w:sz w:val="24"/>
      <w:szCs w:val="24"/>
      <w:lang w:eastAsia="en-US"/>
    </w:rPr>
  </w:style>
  <w:style w:type="character" w:styleId="Hyperlink">
    <w:name w:val="Hyperlink"/>
    <w:rsid w:val="00D823B6"/>
    <w:rPr>
      <w:color w:val="0000FF"/>
      <w:u w:val="single"/>
    </w:rPr>
  </w:style>
  <w:style w:type="paragraph" w:styleId="Textkrper-Zeileneinzug">
    <w:name w:val="Body Text Indent"/>
    <w:basedOn w:val="Standard"/>
    <w:link w:val="Textkrper-ZeileneinzugZchn"/>
    <w:rsid w:val="00D823B6"/>
    <w:pPr>
      <w:ind w:left="283"/>
    </w:pPr>
    <w:rPr>
      <w:rFonts w:ascii="Arial" w:hAnsi="Arial" w:cs="Arial"/>
      <w:sz w:val="22"/>
      <w:szCs w:val="22"/>
    </w:rPr>
  </w:style>
  <w:style w:type="character" w:customStyle="1" w:styleId="Textkrper-ZeileneinzugZchn">
    <w:name w:val="Textkörper-Zeileneinzug Zchn"/>
    <w:basedOn w:val="Absatz-Standardschriftart"/>
    <w:link w:val="Textkrper-Zeileneinzug"/>
    <w:rsid w:val="00D823B6"/>
    <w:rPr>
      <w:rFonts w:ascii="Arial" w:eastAsia="Times New Roman" w:hAnsi="Arial" w:cs="Arial"/>
      <w:kern w:val="1"/>
      <w:sz w:val="22"/>
      <w:szCs w:val="22"/>
      <w:lang w:eastAsia="ar-SA"/>
    </w:rPr>
  </w:style>
  <w:style w:type="character" w:styleId="BesuchterLink">
    <w:name w:val="FollowedHyperlink"/>
    <w:basedOn w:val="Absatz-Standardschriftart"/>
    <w:uiPriority w:val="99"/>
    <w:semiHidden/>
    <w:unhideWhenUsed/>
    <w:rsid w:val="00A15777"/>
    <w:rPr>
      <w:color w:val="954F72" w:themeColor="followedHyperlink"/>
      <w:u w:val="single"/>
    </w:rPr>
  </w:style>
  <w:style w:type="character" w:styleId="NichtaufgelsteErwhnung">
    <w:name w:val="Unresolved Mention"/>
    <w:basedOn w:val="Absatz-Standardschriftart"/>
    <w:uiPriority w:val="99"/>
    <w:semiHidden/>
    <w:unhideWhenUsed/>
    <w:rsid w:val="00CE45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3559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kaeuferle.de" TargetMode="Externa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kaeuferle.de" TargetMode="Externa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http://www.heinrich-kommunikation"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mailto:info@heinrich-kommunikation.de" TargetMode="External"/><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C803AA-1BD8-2F41-AF68-050CA5C808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999</Words>
  <Characters>6297</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Teresa Nikol</dc:creator>
  <cp:keywords/>
  <dc:description/>
  <cp:lastModifiedBy>Teresa Nikol</cp:lastModifiedBy>
  <cp:revision>4</cp:revision>
  <cp:lastPrinted>2020-12-22T10:06:00Z</cp:lastPrinted>
  <dcterms:created xsi:type="dcterms:W3CDTF">2020-12-22T18:04:00Z</dcterms:created>
  <dcterms:modified xsi:type="dcterms:W3CDTF">2020-12-22T18:44:00Z</dcterms:modified>
</cp:coreProperties>
</file>